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1ADA9" w14:textId="77777777" w:rsidR="002E0CAC" w:rsidRPr="002E0CAC" w:rsidRDefault="002E0CAC" w:rsidP="002E0CAC">
      <w:pPr>
        <w:pStyle w:val="Default"/>
        <w:spacing w:line="360" w:lineRule="auto"/>
        <w:rPr>
          <w:b/>
          <w:bCs/>
        </w:rPr>
      </w:pPr>
      <w:r w:rsidRPr="002E0CAC">
        <w:rPr>
          <w:b/>
          <w:bCs/>
        </w:rPr>
        <w:t xml:space="preserve">Preventing unnecessary post-operative length of stay after ORIF mandible fractures by promoting same day discharges for all suitable patients. </w:t>
      </w:r>
    </w:p>
    <w:p w14:paraId="2D9FEBA3" w14:textId="77777777" w:rsidR="002E0CAC" w:rsidRPr="002E0CAC" w:rsidRDefault="002E0CAC" w:rsidP="002E0CAC">
      <w:pPr>
        <w:pStyle w:val="Default"/>
        <w:spacing w:line="360" w:lineRule="auto"/>
        <w:rPr>
          <w:b/>
          <w:bCs/>
        </w:rPr>
      </w:pPr>
    </w:p>
    <w:p w14:paraId="6B1F8B61" w14:textId="77777777" w:rsidR="002E0CAC" w:rsidRPr="00221BA5" w:rsidRDefault="002E0CAC" w:rsidP="002E0CAC">
      <w:pPr>
        <w:pStyle w:val="Default"/>
        <w:spacing w:line="360" w:lineRule="auto"/>
        <w:rPr>
          <w:bCs/>
        </w:rPr>
      </w:pPr>
      <w:r w:rsidRPr="00221BA5">
        <w:rPr>
          <w:bCs/>
        </w:rPr>
        <w:t>Author: Nicola Gallagher</w:t>
      </w:r>
    </w:p>
    <w:p w14:paraId="16F6A16F" w14:textId="77777777" w:rsidR="002E0CAC" w:rsidRPr="002E0CAC" w:rsidRDefault="002E0CAC" w:rsidP="002E0CAC">
      <w:pPr>
        <w:spacing w:line="360" w:lineRule="auto"/>
      </w:pPr>
    </w:p>
    <w:p w14:paraId="0E9BD68D" w14:textId="77777777" w:rsidR="002E0CAC" w:rsidRPr="002E0CAC" w:rsidRDefault="002E0CAC" w:rsidP="002E0CAC">
      <w:pPr>
        <w:spacing w:line="360" w:lineRule="auto"/>
        <w:rPr>
          <w:b/>
        </w:rPr>
      </w:pPr>
      <w:r>
        <w:rPr>
          <w:b/>
        </w:rPr>
        <w:t>Background</w:t>
      </w:r>
    </w:p>
    <w:p w14:paraId="0B828DAF" w14:textId="77777777" w:rsidR="002E0CAC" w:rsidRPr="002E0CAC" w:rsidRDefault="002E0CAC" w:rsidP="002E0CAC">
      <w:pPr>
        <w:spacing w:line="360" w:lineRule="auto"/>
        <w:rPr>
          <w:b/>
        </w:rPr>
      </w:pPr>
    </w:p>
    <w:p w14:paraId="2A82175E" w14:textId="1EC568EE" w:rsidR="002E0CAC" w:rsidRDefault="002E0CAC" w:rsidP="002E0CAC">
      <w:pPr>
        <w:pStyle w:val="Default"/>
        <w:spacing w:line="360" w:lineRule="auto"/>
      </w:pPr>
      <w:r w:rsidRPr="002E0CAC">
        <w:t>The shortage of inpatient beds is a problem affecting every NHS hospital across the UK. It leads to patients requiring admission waiting for hours in the Emergency Department, where it is simply not possible to provide optimum patient care.</w:t>
      </w:r>
      <w:r w:rsidRPr="002E0CAC">
        <w:rPr>
          <w:vertAlign w:val="superscript"/>
        </w:rPr>
        <w:t>1</w:t>
      </w:r>
      <w:r w:rsidRPr="002E0CAC">
        <w:t xml:space="preserve"> Mandibular fractures make up a large percentage of Oral and Maxillofacial Surgery (OMFS) trauma workload. The patients affected tend to be young, otherwise healthy patients and the surgical management predominantly includes open reduction internal fixation (ORIF) under general anaesthetic.</w:t>
      </w:r>
      <w:r w:rsidRPr="002E0CAC">
        <w:rPr>
          <w:vertAlign w:val="superscript"/>
        </w:rPr>
        <w:t xml:space="preserve">2 </w:t>
      </w:r>
      <w:r w:rsidRPr="002E0CAC">
        <w:t>ORIF of mandible fractures has previously been deemed as a suitable day-case procedure, when the correct patients can be identified.</w:t>
      </w:r>
      <w:r w:rsidRPr="002E0CAC">
        <w:rPr>
          <w:vertAlign w:val="superscript"/>
        </w:rPr>
        <w:t>3</w:t>
      </w:r>
      <w:r w:rsidRPr="002E0CAC">
        <w:t xml:space="preserve"> Despite this the average post-operative length of stay remains to be 1.4 days</w:t>
      </w:r>
      <w:r w:rsidR="00CB0FAE">
        <w:t xml:space="preserve"> (33.6 hours)</w:t>
      </w:r>
      <w:r w:rsidRPr="002E0CAC">
        <w:t xml:space="preserve"> for patients admitted as an emergency.</w:t>
      </w:r>
      <w:r w:rsidRPr="002E0CAC">
        <w:rPr>
          <w:vertAlign w:val="superscript"/>
        </w:rPr>
        <w:t>4</w:t>
      </w:r>
      <w:r w:rsidRPr="002E0CAC">
        <w:t xml:space="preserve"> It is therefore, possible that many patients who undergo ORIF of the mandible are spending unnecessary time in a hospital bed, which could be better allocated to other patients. </w:t>
      </w:r>
    </w:p>
    <w:p w14:paraId="5BC72BBE" w14:textId="77777777" w:rsidR="002E0CAC" w:rsidRPr="002E0CAC" w:rsidRDefault="002E0CAC" w:rsidP="002E0CAC">
      <w:pPr>
        <w:pStyle w:val="Default"/>
        <w:spacing w:line="360" w:lineRule="auto"/>
      </w:pPr>
    </w:p>
    <w:p w14:paraId="02E5F384" w14:textId="77777777" w:rsidR="002E0CAC" w:rsidRDefault="002E0CAC" w:rsidP="002E0CAC">
      <w:pPr>
        <w:spacing w:line="360" w:lineRule="auto"/>
      </w:pPr>
      <w:r>
        <w:t>This project aimed</w:t>
      </w:r>
      <w:r w:rsidRPr="002E0CAC">
        <w:t xml:space="preserve"> to audit the post-operative management of patients with a mandible fracture</w:t>
      </w:r>
      <w:r>
        <w:t xml:space="preserve"> treated at King’s College Hospital in London. The gold standard remains that 100% of patient’s suitable for same </w:t>
      </w:r>
      <w:r w:rsidRPr="002E0CAC">
        <w:t xml:space="preserve">day discharge do not stay overnight. The data collated </w:t>
      </w:r>
      <w:r>
        <w:t>has been</w:t>
      </w:r>
      <w:r w:rsidRPr="002E0CAC">
        <w:t xml:space="preserve"> used to produce</w:t>
      </w:r>
      <w:r>
        <w:t xml:space="preserve"> resources to encourage change, both</w:t>
      </w:r>
      <w:r w:rsidRPr="002E0CAC">
        <w:t xml:space="preserve"> local</w:t>
      </w:r>
      <w:r>
        <w:t>ly</w:t>
      </w:r>
      <w:r w:rsidRPr="002E0CAC">
        <w:t xml:space="preserve"> and eventually national</w:t>
      </w:r>
      <w:r>
        <w:t>ly,</w:t>
      </w:r>
      <w:r w:rsidRPr="002E0CAC">
        <w:t xml:space="preserve"> to ensure the most efficient post-operative management of patients with mandible fractures</w:t>
      </w:r>
      <w:r>
        <w:t>,</w:t>
      </w:r>
      <w:r w:rsidRPr="002E0CAC">
        <w:t xml:space="preserve"> especially in light of the current bed crisis.</w:t>
      </w:r>
    </w:p>
    <w:p w14:paraId="4ABBBA1D" w14:textId="77777777" w:rsidR="002E0CAC" w:rsidRDefault="002E0CAC" w:rsidP="002E0CAC">
      <w:pPr>
        <w:spacing w:line="360" w:lineRule="auto"/>
      </w:pPr>
    </w:p>
    <w:p w14:paraId="1EDFB5FE" w14:textId="77777777" w:rsidR="002E0CAC" w:rsidRDefault="002E0CAC" w:rsidP="002E0CAC">
      <w:pPr>
        <w:spacing w:line="360" w:lineRule="auto"/>
        <w:rPr>
          <w:b/>
        </w:rPr>
      </w:pPr>
      <w:r w:rsidRPr="002E0CAC">
        <w:rPr>
          <w:b/>
        </w:rPr>
        <w:t>Method</w:t>
      </w:r>
    </w:p>
    <w:p w14:paraId="07559862" w14:textId="77777777" w:rsidR="002E0CAC" w:rsidRDefault="002E0CAC" w:rsidP="002E0CAC">
      <w:pPr>
        <w:spacing w:line="360" w:lineRule="auto"/>
        <w:rPr>
          <w:b/>
        </w:rPr>
      </w:pPr>
    </w:p>
    <w:p w14:paraId="79C3A989" w14:textId="5B607F7C" w:rsidR="002E0CAC" w:rsidRDefault="002E0CAC" w:rsidP="002E0CAC">
      <w:pPr>
        <w:spacing w:line="360" w:lineRule="auto"/>
      </w:pPr>
      <w:r>
        <w:t xml:space="preserve">Retrospective data were collected across a six-month period (January 2024 – June 2024) for patient’s who underwent surgical management of a mandible fracture at King’s College Hospital in London. Exclusion criteria included any patient that had concurrent injuries (including a head injury) that required inpatient observation or care, any social circumstances that would prolong discharge (e.g. those with no fixed abode or safeguarding concerns) or any </w:t>
      </w:r>
      <w:r>
        <w:lastRenderedPageBreak/>
        <w:t>medical condition(s) that required referral to another specialty during an inpatient stay. In addition to demographic data, specific time points along a patient’s inpatient stay we</w:t>
      </w:r>
      <w:r w:rsidR="006B707F">
        <w:t>re collected. These</w:t>
      </w:r>
      <w:r>
        <w:t xml:space="preserve"> are demonstrated in Figure 1 and </w:t>
      </w:r>
      <w:r w:rsidR="00703DC0">
        <w:t xml:space="preserve">were </w:t>
      </w:r>
      <w:r w:rsidR="00CB0FAE">
        <w:t xml:space="preserve">used for </w:t>
      </w:r>
      <w:r>
        <w:t xml:space="preserve">analysis to discover where </w:t>
      </w:r>
      <w:r w:rsidR="006B12FF">
        <w:t xml:space="preserve">preventable </w:t>
      </w:r>
      <w:r>
        <w:t xml:space="preserve">delays </w:t>
      </w:r>
      <w:r w:rsidR="00CB0FAE">
        <w:t xml:space="preserve">were </w:t>
      </w:r>
      <w:r w:rsidR="00FD4AE9">
        <w:t xml:space="preserve">occurring. </w:t>
      </w:r>
    </w:p>
    <w:p w14:paraId="624BE6FA" w14:textId="70421438" w:rsidR="00FD4AE9" w:rsidRDefault="00A12A62" w:rsidP="002E0CAC">
      <w:pPr>
        <w:spacing w:line="360" w:lineRule="auto"/>
      </w:pPr>
      <w:r>
        <w:t xml:space="preserve">             </w:t>
      </w:r>
      <w:r w:rsidRPr="00A12A62">
        <w:drawing>
          <wp:inline distT="0" distB="0" distL="0" distR="0" wp14:anchorId="3D7B3527" wp14:editId="04320F1F">
            <wp:extent cx="5255664" cy="2075180"/>
            <wp:effectExtent l="0" t="25400" r="0" b="838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14E8E88E" w14:textId="75EC4578" w:rsidR="00FD4AE9" w:rsidRPr="006B707F" w:rsidRDefault="00FD4AE9" w:rsidP="00A12A62">
      <w:pPr>
        <w:spacing w:line="360" w:lineRule="auto"/>
        <w:jc w:val="center"/>
        <w:rPr>
          <w:b/>
          <w:sz w:val="18"/>
        </w:rPr>
      </w:pPr>
      <w:r w:rsidRPr="006B707F">
        <w:rPr>
          <w:b/>
          <w:sz w:val="18"/>
        </w:rPr>
        <w:t>Figure 1</w:t>
      </w:r>
      <w:r w:rsidR="00A12A62">
        <w:rPr>
          <w:b/>
          <w:sz w:val="18"/>
        </w:rPr>
        <w:t xml:space="preserve">. </w:t>
      </w:r>
      <w:proofErr w:type="gramStart"/>
      <w:r w:rsidR="00A12A62" w:rsidRPr="00A12A62">
        <w:rPr>
          <w:sz w:val="18"/>
        </w:rPr>
        <w:t>Time stamps that were collected along the patient journey.</w:t>
      </w:r>
      <w:proofErr w:type="gramEnd"/>
    </w:p>
    <w:p w14:paraId="462E39FF" w14:textId="77777777" w:rsidR="00FD4AE9" w:rsidRDefault="00FD4AE9" w:rsidP="002E0CAC">
      <w:pPr>
        <w:spacing w:line="360" w:lineRule="auto"/>
      </w:pPr>
    </w:p>
    <w:p w14:paraId="0F7ADBED" w14:textId="77777777" w:rsidR="00A12A62" w:rsidRDefault="00A12A62" w:rsidP="002E0CAC">
      <w:pPr>
        <w:spacing w:line="360" w:lineRule="auto"/>
        <w:rPr>
          <w:b/>
        </w:rPr>
      </w:pPr>
    </w:p>
    <w:p w14:paraId="7673BE21" w14:textId="77777777" w:rsidR="00FD4AE9" w:rsidRDefault="00FD4AE9" w:rsidP="002E0CAC">
      <w:pPr>
        <w:spacing w:line="360" w:lineRule="auto"/>
        <w:rPr>
          <w:b/>
        </w:rPr>
      </w:pPr>
      <w:r w:rsidRPr="00FD4AE9">
        <w:rPr>
          <w:b/>
        </w:rPr>
        <w:t>Results</w:t>
      </w:r>
    </w:p>
    <w:p w14:paraId="5151F7AA" w14:textId="77777777" w:rsidR="00FD4AE9" w:rsidRDefault="00FD4AE9" w:rsidP="002E0CAC">
      <w:pPr>
        <w:spacing w:line="360" w:lineRule="auto"/>
      </w:pPr>
    </w:p>
    <w:p w14:paraId="4733F499" w14:textId="5F09D0E6" w:rsidR="006B707F" w:rsidRDefault="00FD4AE9" w:rsidP="002E0CAC">
      <w:pPr>
        <w:spacing w:line="360" w:lineRule="auto"/>
      </w:pPr>
      <w:r>
        <w:t xml:space="preserve">A total of 37 patients were identified that </w:t>
      </w:r>
      <w:r w:rsidR="00CB0FAE">
        <w:t>met</w:t>
      </w:r>
      <w:r>
        <w:t xml:space="preserve"> the incl</w:t>
      </w:r>
      <w:r w:rsidR="00CB0FAE">
        <w:t>usion criteria. The average age</w:t>
      </w:r>
      <w:r w:rsidR="00703DC0">
        <w:t xml:space="preserve"> </w:t>
      </w:r>
      <w:r w:rsidR="00CB0FAE">
        <w:t>(SD) was 35</w:t>
      </w:r>
      <w:r w:rsidR="00703DC0">
        <w:t xml:space="preserve"> </w:t>
      </w:r>
      <w:r>
        <w:t>(</w:t>
      </w:r>
      <w:r>
        <w:rPr>
          <w:rFonts w:ascii="Cambria" w:hAnsi="Cambria"/>
        </w:rPr>
        <w:t>±</w:t>
      </w:r>
      <w:r>
        <w:t xml:space="preserve">14) years and 95% of patients were male.  </w:t>
      </w:r>
      <w:r w:rsidR="006255E0">
        <w:t>Figure 2 shows the distribution of mechanism of injury, with the majority of injuries being caused by an alleged assault.</w:t>
      </w:r>
    </w:p>
    <w:p w14:paraId="3C04D20B" w14:textId="77777777" w:rsidR="006B707F" w:rsidRDefault="006B707F" w:rsidP="002E0CAC">
      <w:pPr>
        <w:spacing w:line="360" w:lineRule="auto"/>
      </w:pPr>
    </w:p>
    <w:p w14:paraId="13896FFA" w14:textId="0F795028" w:rsidR="00F21873" w:rsidRDefault="006255E0" w:rsidP="002E0CAC">
      <w:pPr>
        <w:spacing w:line="360" w:lineRule="auto"/>
      </w:pPr>
      <w:r>
        <w:t xml:space="preserve"> </w:t>
      </w:r>
      <w:r w:rsidR="006B707F">
        <w:t xml:space="preserve">               </w:t>
      </w:r>
      <w:r w:rsidR="006B707F" w:rsidRPr="00F21873">
        <w:rPr>
          <w:lang w:val="en-GB"/>
        </w:rPr>
        <w:drawing>
          <wp:inline distT="0" distB="0" distL="0" distR="0" wp14:anchorId="1A094B66" wp14:editId="719E427F">
            <wp:extent cx="5147129" cy="2617470"/>
            <wp:effectExtent l="0" t="0" r="0" b="0"/>
            <wp:docPr id="1" name="Chart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00196D88-2D80-FF01-44D3-310B15C79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FA2B23" w14:textId="136D99A0" w:rsidR="002E0CAC" w:rsidRPr="006B707F" w:rsidRDefault="006255E0" w:rsidP="006B707F">
      <w:pPr>
        <w:spacing w:line="360" w:lineRule="auto"/>
        <w:jc w:val="center"/>
        <w:rPr>
          <w:b/>
          <w:sz w:val="18"/>
        </w:rPr>
      </w:pPr>
      <w:r w:rsidRPr="006B707F">
        <w:rPr>
          <w:b/>
          <w:sz w:val="18"/>
        </w:rPr>
        <w:t>Figure 2</w:t>
      </w:r>
      <w:r w:rsidR="006B707F">
        <w:rPr>
          <w:b/>
          <w:sz w:val="18"/>
        </w:rPr>
        <w:t xml:space="preserve">. </w:t>
      </w:r>
      <w:r w:rsidR="006B707F" w:rsidRPr="006B707F">
        <w:rPr>
          <w:sz w:val="18"/>
        </w:rPr>
        <w:t>Graph to illustrate the distr</w:t>
      </w:r>
      <w:r w:rsidR="00703DC0">
        <w:rPr>
          <w:sz w:val="18"/>
        </w:rPr>
        <w:t>ibution of mechanism of injury</w:t>
      </w:r>
      <w:r w:rsidR="006B707F" w:rsidRPr="006B707F">
        <w:rPr>
          <w:sz w:val="18"/>
        </w:rPr>
        <w:t xml:space="preserve"> across the cohort.</w:t>
      </w:r>
    </w:p>
    <w:p w14:paraId="0755C21F" w14:textId="77777777" w:rsidR="002E0CAC" w:rsidRDefault="002E0CAC" w:rsidP="002E0CAC">
      <w:pPr>
        <w:rPr>
          <w:b/>
        </w:rPr>
      </w:pPr>
    </w:p>
    <w:p w14:paraId="0004E207" w14:textId="77777777" w:rsidR="006255E0" w:rsidRDefault="006255E0" w:rsidP="008B1DF7">
      <w:pPr>
        <w:spacing w:line="360" w:lineRule="auto"/>
      </w:pPr>
      <w:r>
        <w:t>The average length of stay (</w:t>
      </w:r>
      <w:proofErr w:type="spellStart"/>
      <w:r>
        <w:t>LoS</w:t>
      </w:r>
      <w:proofErr w:type="spellEnd"/>
      <w:r>
        <w:t xml:space="preserve">) </w:t>
      </w:r>
      <w:r w:rsidR="006B12FF">
        <w:t xml:space="preserve">across the group </w:t>
      </w:r>
      <w:r>
        <w:t xml:space="preserve">was 71.8 hours. The average </w:t>
      </w:r>
      <w:proofErr w:type="spellStart"/>
      <w:r>
        <w:t>LoS</w:t>
      </w:r>
      <w:proofErr w:type="spellEnd"/>
      <w:r>
        <w:t xml:space="preserve"> between admission and procedure was 48 hours. The average </w:t>
      </w:r>
      <w:proofErr w:type="spellStart"/>
      <w:r>
        <w:t>LoS</w:t>
      </w:r>
      <w:proofErr w:type="spellEnd"/>
      <w:r>
        <w:t xml:space="preserve"> between procedure and discharge was 23.5 hours. </w:t>
      </w:r>
      <w:r w:rsidR="00E65A22">
        <w:t>This project focused on changes to post-operative care only.</w:t>
      </w:r>
    </w:p>
    <w:p w14:paraId="565FD3F3" w14:textId="77777777" w:rsidR="006255E0" w:rsidRDefault="006255E0" w:rsidP="008B1DF7">
      <w:pPr>
        <w:spacing w:line="360" w:lineRule="auto"/>
      </w:pPr>
    </w:p>
    <w:p w14:paraId="3552EDF7" w14:textId="2DA243CD" w:rsidR="006255E0" w:rsidRDefault="006255E0" w:rsidP="008B1DF7">
      <w:pPr>
        <w:spacing w:line="360" w:lineRule="auto"/>
      </w:pPr>
      <w:r>
        <w:t xml:space="preserve">There were eight patients (21.6%) who were discharged on the same day as their procedure; three of these were the result of patient choice and the completion of a self-discharge declaration. Analysis of the five remaining same day discharges showed, that all procedures were completed by 11am and all patients had a unilateral fracture. </w:t>
      </w:r>
      <w:r w:rsidR="008B1DF7">
        <w:t xml:space="preserve">Despite being discharged on the same day, the average </w:t>
      </w:r>
      <w:r w:rsidR="002F085C">
        <w:t xml:space="preserve">post-operative </w:t>
      </w:r>
      <w:proofErr w:type="spellStart"/>
      <w:r w:rsidR="008B1DF7">
        <w:t>LoS</w:t>
      </w:r>
      <w:proofErr w:type="spellEnd"/>
      <w:r w:rsidR="008B1DF7">
        <w:t xml:space="preserve"> for these five patients remained to be 10 hours. Post-operative imaging was taken on average, six hours post-operatively.</w:t>
      </w:r>
    </w:p>
    <w:p w14:paraId="497FF884" w14:textId="77777777" w:rsidR="008B1DF7" w:rsidRDefault="008B1DF7" w:rsidP="008B1DF7">
      <w:pPr>
        <w:spacing w:line="360" w:lineRule="auto"/>
      </w:pPr>
    </w:p>
    <w:p w14:paraId="4D6DCD59" w14:textId="74B9500D" w:rsidR="008B1DF7" w:rsidRDefault="008B1DF7" w:rsidP="008B1DF7">
      <w:pPr>
        <w:spacing w:line="360" w:lineRule="auto"/>
      </w:pPr>
      <w:r>
        <w:t xml:space="preserve">Closer analysis of the patients that had subsequent day discharges showed an average </w:t>
      </w:r>
      <w:proofErr w:type="spellStart"/>
      <w:r>
        <w:t>LoS</w:t>
      </w:r>
      <w:proofErr w:type="spellEnd"/>
      <w:r>
        <w:t xml:space="preserve"> of 21.3 hours. The impact of post-operative imaging was assessed and the average time between the procedures finishing and post-operative imaging was 13.9 hours and an average of 7.4 hours between post-operative imaging and discharge. Only 11 (30%) of patients were discharged before </w:t>
      </w:r>
      <w:r w:rsidR="006B12FF">
        <w:t xml:space="preserve">2pm the subsequent day after their procedure. There was no significant difference between patients </w:t>
      </w:r>
      <w:r w:rsidR="00703DC0">
        <w:t>who</w:t>
      </w:r>
      <w:r w:rsidR="006B12FF">
        <w:t xml:space="preserve"> had their post-operative imaging performed on the day of </w:t>
      </w:r>
      <w:r w:rsidR="00703DC0">
        <w:t xml:space="preserve">their </w:t>
      </w:r>
      <w:r w:rsidR="006B12FF">
        <w:t xml:space="preserve">procedure compared to those who had their imaging performed on the day of discharge. </w:t>
      </w:r>
    </w:p>
    <w:p w14:paraId="086BB0AB" w14:textId="77777777" w:rsidR="006B12FF" w:rsidRPr="006255E0" w:rsidRDefault="006B12FF" w:rsidP="008B1DF7">
      <w:pPr>
        <w:spacing w:line="360" w:lineRule="auto"/>
      </w:pPr>
    </w:p>
    <w:p w14:paraId="266541BA" w14:textId="77777777" w:rsidR="002E0CAC" w:rsidRDefault="006B12FF" w:rsidP="002E0CAC">
      <w:pPr>
        <w:rPr>
          <w:b/>
        </w:rPr>
      </w:pPr>
      <w:r>
        <w:rPr>
          <w:b/>
        </w:rPr>
        <w:t xml:space="preserve">Discussion </w:t>
      </w:r>
    </w:p>
    <w:p w14:paraId="1597397D" w14:textId="77777777" w:rsidR="006B12FF" w:rsidRDefault="006B12FF" w:rsidP="002E0CAC">
      <w:pPr>
        <w:rPr>
          <w:b/>
        </w:rPr>
      </w:pPr>
    </w:p>
    <w:p w14:paraId="65853DBC" w14:textId="140A3AD0" w:rsidR="006B12FF" w:rsidRDefault="006B12FF" w:rsidP="006B12FF">
      <w:pPr>
        <w:spacing w:line="360" w:lineRule="auto"/>
      </w:pPr>
      <w:r>
        <w:t>Factors that</w:t>
      </w:r>
      <w:r w:rsidR="00914DD8">
        <w:t xml:space="preserve"> influenced a timely discharge </w:t>
      </w:r>
      <w:r>
        <w:t xml:space="preserve">were considered to be </w:t>
      </w:r>
      <w:r w:rsidR="002F085C">
        <w:t xml:space="preserve">managing patient expectations, </w:t>
      </w:r>
      <w:r w:rsidR="00914DD8">
        <w:t xml:space="preserve">post-operative imaging, </w:t>
      </w:r>
      <w:r>
        <w:t>completi</w:t>
      </w:r>
      <w:r w:rsidR="00914DD8">
        <w:t xml:space="preserve">on of the discharge summary and </w:t>
      </w:r>
      <w:r>
        <w:t>preparat</w:t>
      </w:r>
      <w:r w:rsidR="002F085C">
        <w:t>ion of discharge medications</w:t>
      </w:r>
      <w:r w:rsidR="00914DD8">
        <w:t xml:space="preserve">. </w:t>
      </w:r>
      <w:r>
        <w:t xml:space="preserve"> </w:t>
      </w:r>
    </w:p>
    <w:p w14:paraId="382B88E8" w14:textId="77777777" w:rsidR="002F085C" w:rsidRDefault="002F085C" w:rsidP="006B12FF">
      <w:pPr>
        <w:spacing w:line="360" w:lineRule="auto"/>
      </w:pPr>
    </w:p>
    <w:p w14:paraId="1DD6C93D" w14:textId="7C6CE918" w:rsidR="00914DD8" w:rsidRDefault="00404DD1" w:rsidP="00914DD8">
      <w:pPr>
        <w:spacing w:line="360" w:lineRule="auto"/>
      </w:pPr>
      <w:r>
        <w:t>Simple changes were</w:t>
      </w:r>
      <w:r w:rsidR="00914DD8">
        <w:t xml:space="preserve"> implemented to ensure timely completion of a discharge summary by instructing the OMFS junior doctor to sign this off during the theatre case. This in turn would optimise the preparation of discharge medications and would be done in addition to ensuring a good supply of commonly prescribed medications on the ward. </w:t>
      </w:r>
    </w:p>
    <w:p w14:paraId="439E4085" w14:textId="77777777" w:rsidR="00E65A22" w:rsidRPr="006B12FF" w:rsidRDefault="00E65A22" w:rsidP="006B12FF">
      <w:pPr>
        <w:spacing w:line="360" w:lineRule="auto"/>
      </w:pPr>
    </w:p>
    <w:p w14:paraId="06EE131B" w14:textId="11FA8CB2" w:rsidR="00AD5046" w:rsidRDefault="00E65A22" w:rsidP="00E65A22">
      <w:pPr>
        <w:spacing w:line="360" w:lineRule="auto"/>
      </w:pPr>
      <w:r>
        <w:t xml:space="preserve">The </w:t>
      </w:r>
      <w:r w:rsidR="00AD5046">
        <w:t xml:space="preserve">project </w:t>
      </w:r>
      <w:r>
        <w:t>data and current process</w:t>
      </w:r>
      <w:r w:rsidR="00AD5046">
        <w:t xml:space="preserve"> was discussed </w:t>
      </w:r>
      <w:r>
        <w:t xml:space="preserve">at a local audit meeting, which raised the following concerns: is it necessary for patient’s to have post-operative imaging completed prior to discharge? Do patient’s require treatment with intravenous </w:t>
      </w:r>
      <w:r w:rsidR="00540415">
        <w:t xml:space="preserve">(IV) </w:t>
      </w:r>
      <w:r>
        <w:t xml:space="preserve">antibiotics post-operatively? </w:t>
      </w:r>
    </w:p>
    <w:p w14:paraId="2BA3764A" w14:textId="01B0E71D" w:rsidR="00B92690" w:rsidRPr="00B92690" w:rsidRDefault="00AD5046" w:rsidP="00B92690">
      <w:pPr>
        <w:pStyle w:val="NormalWeb"/>
        <w:spacing w:line="360" w:lineRule="auto"/>
        <w:rPr>
          <w:rFonts w:asciiTheme="minorHAnsi" w:hAnsiTheme="minorHAnsi" w:cstheme="minorBidi"/>
          <w:sz w:val="24"/>
          <w:szCs w:val="24"/>
          <w:lang w:val="en-US"/>
        </w:rPr>
      </w:pPr>
      <w:r w:rsidRPr="00B92690">
        <w:rPr>
          <w:rFonts w:asciiTheme="minorHAnsi" w:hAnsiTheme="minorHAnsi" w:cstheme="minorBidi"/>
          <w:sz w:val="24"/>
          <w:szCs w:val="24"/>
          <w:lang w:val="en-US"/>
        </w:rPr>
        <w:t xml:space="preserve">There is limited </w:t>
      </w:r>
      <w:r w:rsidR="004D11C1" w:rsidRPr="00B92690">
        <w:rPr>
          <w:rFonts w:asciiTheme="minorHAnsi" w:hAnsiTheme="minorHAnsi" w:cstheme="minorBidi"/>
          <w:sz w:val="24"/>
          <w:szCs w:val="24"/>
          <w:lang w:val="en-US"/>
        </w:rPr>
        <w:t>research</w:t>
      </w:r>
      <w:r w:rsidRPr="00B92690">
        <w:rPr>
          <w:rFonts w:asciiTheme="minorHAnsi" w:hAnsiTheme="minorHAnsi" w:cstheme="minorBidi"/>
          <w:sz w:val="24"/>
          <w:szCs w:val="24"/>
          <w:lang w:val="en-US"/>
        </w:rPr>
        <w:t xml:space="preserve"> looking at the </w:t>
      </w:r>
      <w:r w:rsidR="004D11C1" w:rsidRPr="00B92690">
        <w:rPr>
          <w:rFonts w:asciiTheme="minorHAnsi" w:hAnsiTheme="minorHAnsi" w:cstheme="minorBidi"/>
          <w:sz w:val="24"/>
          <w:szCs w:val="24"/>
          <w:lang w:val="en-US"/>
        </w:rPr>
        <w:t>necessity</w:t>
      </w:r>
      <w:r w:rsidRPr="00B92690">
        <w:rPr>
          <w:rFonts w:asciiTheme="minorHAnsi" w:hAnsiTheme="minorHAnsi" w:cstheme="minorBidi"/>
          <w:sz w:val="24"/>
          <w:szCs w:val="24"/>
          <w:lang w:val="en-US"/>
        </w:rPr>
        <w:t xml:space="preserve"> of </w:t>
      </w:r>
      <w:r w:rsidR="004D11C1" w:rsidRPr="00B92690">
        <w:rPr>
          <w:rFonts w:asciiTheme="minorHAnsi" w:hAnsiTheme="minorHAnsi" w:cstheme="minorBidi"/>
          <w:sz w:val="24"/>
          <w:szCs w:val="24"/>
          <w:lang w:val="en-US"/>
        </w:rPr>
        <w:t xml:space="preserve">routine </w:t>
      </w:r>
      <w:r w:rsidRPr="00B92690">
        <w:rPr>
          <w:rFonts w:asciiTheme="minorHAnsi" w:hAnsiTheme="minorHAnsi" w:cstheme="minorBidi"/>
          <w:sz w:val="24"/>
          <w:szCs w:val="24"/>
          <w:lang w:val="en-US"/>
        </w:rPr>
        <w:t xml:space="preserve">post-operative imaging after ORIF </w:t>
      </w:r>
      <w:r w:rsidR="004D11C1" w:rsidRPr="00B92690">
        <w:rPr>
          <w:rFonts w:asciiTheme="minorHAnsi" w:hAnsiTheme="minorHAnsi" w:cstheme="minorBidi"/>
          <w:sz w:val="24"/>
          <w:szCs w:val="24"/>
          <w:lang w:val="en-US"/>
        </w:rPr>
        <w:t>mandible</w:t>
      </w:r>
      <w:r w:rsidRPr="00B92690">
        <w:rPr>
          <w:rFonts w:asciiTheme="minorHAnsi" w:hAnsiTheme="minorHAnsi" w:cstheme="minorBidi"/>
          <w:sz w:val="24"/>
          <w:szCs w:val="24"/>
          <w:lang w:val="en-US"/>
        </w:rPr>
        <w:t xml:space="preserve">. </w:t>
      </w:r>
      <w:proofErr w:type="spellStart"/>
      <w:r w:rsidR="004D11C1" w:rsidRPr="00B92690">
        <w:rPr>
          <w:rFonts w:asciiTheme="minorHAnsi" w:hAnsiTheme="minorHAnsi" w:cstheme="minorBidi"/>
          <w:sz w:val="24"/>
          <w:szCs w:val="24"/>
          <w:lang w:val="en-US"/>
        </w:rPr>
        <w:t>Dewi</w:t>
      </w:r>
      <w:proofErr w:type="spellEnd"/>
      <w:r w:rsidR="004D11C1" w:rsidRPr="00B92690">
        <w:rPr>
          <w:rFonts w:asciiTheme="minorHAnsi" w:hAnsiTheme="minorHAnsi" w:cstheme="minorBidi"/>
          <w:sz w:val="24"/>
          <w:szCs w:val="24"/>
          <w:lang w:val="en-US"/>
        </w:rPr>
        <w:t xml:space="preserve"> at al. concluded that to date there is no data to support that a plain film post-operative radiograph can be predictive of post-operative complications in the absence of clinical signs </w:t>
      </w:r>
      <w:r w:rsidR="00320C17" w:rsidRPr="00B92690">
        <w:rPr>
          <w:rFonts w:asciiTheme="minorHAnsi" w:hAnsiTheme="minorHAnsi" w:cstheme="minorBidi"/>
          <w:sz w:val="24"/>
          <w:szCs w:val="24"/>
          <w:lang w:val="en-US"/>
        </w:rPr>
        <w:t xml:space="preserve">and the taking of a post-operative image is </w:t>
      </w:r>
      <w:r w:rsidR="00B92690">
        <w:rPr>
          <w:rFonts w:asciiTheme="minorHAnsi" w:hAnsiTheme="minorHAnsi" w:cstheme="minorBidi"/>
          <w:sz w:val="24"/>
          <w:szCs w:val="24"/>
          <w:lang w:val="en-US"/>
        </w:rPr>
        <w:t xml:space="preserve">requested </w:t>
      </w:r>
      <w:r w:rsidR="00320C17" w:rsidRPr="00B92690">
        <w:rPr>
          <w:rFonts w:asciiTheme="minorHAnsi" w:hAnsiTheme="minorHAnsi" w:cstheme="minorBidi"/>
          <w:sz w:val="24"/>
          <w:szCs w:val="24"/>
          <w:lang w:val="en-US"/>
        </w:rPr>
        <w:t xml:space="preserve">for </w:t>
      </w:r>
      <w:r w:rsidR="00BD3C0F">
        <w:rPr>
          <w:rFonts w:asciiTheme="minorHAnsi" w:hAnsiTheme="minorHAnsi" w:cstheme="minorBidi"/>
          <w:sz w:val="24"/>
          <w:szCs w:val="24"/>
          <w:lang w:val="en-US"/>
        </w:rPr>
        <w:t>medico-legal documentation only</w:t>
      </w:r>
      <w:r w:rsidR="00B92690">
        <w:rPr>
          <w:rFonts w:asciiTheme="minorHAnsi" w:hAnsiTheme="minorHAnsi" w:cstheme="minorBidi"/>
          <w:sz w:val="24"/>
          <w:szCs w:val="24"/>
          <w:lang w:val="en-US"/>
        </w:rPr>
        <w:t>.</w:t>
      </w:r>
      <w:r w:rsidR="00BD3C0F">
        <w:rPr>
          <w:rFonts w:asciiTheme="minorHAnsi" w:hAnsiTheme="minorHAnsi" w:cstheme="minorBidi"/>
          <w:sz w:val="24"/>
          <w:szCs w:val="24"/>
          <w:vertAlign w:val="superscript"/>
          <w:lang w:val="en-US"/>
        </w:rPr>
        <w:t>5</w:t>
      </w:r>
      <w:r w:rsidR="00B92690">
        <w:rPr>
          <w:rFonts w:asciiTheme="minorHAnsi" w:hAnsiTheme="minorHAnsi" w:cstheme="minorBidi"/>
          <w:sz w:val="24"/>
          <w:szCs w:val="24"/>
          <w:lang w:val="en-US"/>
        </w:rPr>
        <w:t xml:space="preserve"> </w:t>
      </w:r>
      <w:r w:rsidR="00B92690" w:rsidRPr="00B92690">
        <w:rPr>
          <w:rFonts w:asciiTheme="minorHAnsi" w:hAnsiTheme="minorHAnsi" w:cstheme="minorBidi"/>
          <w:sz w:val="24"/>
          <w:szCs w:val="24"/>
          <w:lang w:val="en-US"/>
        </w:rPr>
        <w:t>The Royal College of Radiolog</w:t>
      </w:r>
      <w:r w:rsidR="00B92690">
        <w:rPr>
          <w:rFonts w:asciiTheme="minorHAnsi" w:hAnsiTheme="minorHAnsi" w:cstheme="minorBidi"/>
          <w:sz w:val="24"/>
          <w:szCs w:val="24"/>
          <w:lang w:val="en-US"/>
        </w:rPr>
        <w:t>ists, the Medi</w:t>
      </w:r>
      <w:r w:rsidR="00B92690" w:rsidRPr="00B92690">
        <w:rPr>
          <w:rFonts w:asciiTheme="minorHAnsi" w:hAnsiTheme="minorHAnsi" w:cstheme="minorBidi"/>
          <w:sz w:val="24"/>
          <w:szCs w:val="24"/>
          <w:lang w:val="en-US"/>
        </w:rPr>
        <w:t>cal Defence</w:t>
      </w:r>
      <w:r w:rsidR="00B92690">
        <w:rPr>
          <w:rFonts w:asciiTheme="minorHAnsi" w:hAnsiTheme="minorHAnsi" w:cstheme="minorBidi"/>
          <w:sz w:val="24"/>
          <w:szCs w:val="24"/>
          <w:lang w:val="en-US"/>
        </w:rPr>
        <w:t xml:space="preserve"> Union and Medical Protection all state</w:t>
      </w:r>
      <w:r w:rsidR="00B92690" w:rsidRPr="00B92690">
        <w:rPr>
          <w:rFonts w:asciiTheme="minorHAnsi" w:hAnsiTheme="minorHAnsi" w:cstheme="minorBidi"/>
          <w:sz w:val="24"/>
          <w:szCs w:val="24"/>
          <w:lang w:val="en-US"/>
        </w:rPr>
        <w:t xml:space="preserve"> that goo</w:t>
      </w:r>
      <w:r w:rsidR="00B92690">
        <w:rPr>
          <w:rFonts w:asciiTheme="minorHAnsi" w:hAnsiTheme="minorHAnsi" w:cstheme="minorBidi"/>
          <w:sz w:val="24"/>
          <w:szCs w:val="24"/>
          <w:lang w:val="en-US"/>
        </w:rPr>
        <w:t>d clinical notes are sufficient, so why are routine images still requested in the absence</w:t>
      </w:r>
      <w:r w:rsidR="000F609B">
        <w:rPr>
          <w:rFonts w:asciiTheme="minorHAnsi" w:hAnsiTheme="minorHAnsi" w:cstheme="minorBidi"/>
          <w:sz w:val="24"/>
          <w:szCs w:val="24"/>
          <w:lang w:val="en-US"/>
        </w:rPr>
        <w:t xml:space="preserve"> of clinical concerns</w:t>
      </w:r>
      <w:proofErr w:type="gramStart"/>
      <w:r w:rsidR="000F609B">
        <w:rPr>
          <w:rFonts w:asciiTheme="minorHAnsi" w:hAnsiTheme="minorHAnsi" w:cstheme="minorBidi"/>
          <w:sz w:val="24"/>
          <w:szCs w:val="24"/>
          <w:lang w:val="en-US"/>
        </w:rPr>
        <w:t>?</w:t>
      </w:r>
      <w:r w:rsidR="000F609B">
        <w:rPr>
          <w:rFonts w:asciiTheme="minorHAnsi" w:hAnsiTheme="minorHAnsi" w:cstheme="minorBidi"/>
          <w:sz w:val="24"/>
          <w:szCs w:val="24"/>
          <w:vertAlign w:val="superscript"/>
          <w:lang w:val="en-US"/>
        </w:rPr>
        <w:t>6</w:t>
      </w:r>
      <w:proofErr w:type="gramEnd"/>
      <w:r w:rsidR="000F609B">
        <w:rPr>
          <w:rFonts w:asciiTheme="minorHAnsi" w:hAnsiTheme="minorHAnsi" w:cstheme="minorBidi"/>
          <w:sz w:val="24"/>
          <w:szCs w:val="24"/>
          <w:vertAlign w:val="superscript"/>
          <w:lang w:val="en-US"/>
        </w:rPr>
        <w:t xml:space="preserve"> </w:t>
      </w:r>
      <w:r w:rsidR="00B92690">
        <w:rPr>
          <w:rFonts w:asciiTheme="minorHAnsi" w:hAnsiTheme="minorHAnsi" w:cstheme="minorBidi"/>
          <w:sz w:val="24"/>
          <w:szCs w:val="24"/>
          <w:lang w:val="en-US"/>
        </w:rPr>
        <w:t xml:space="preserve">A fear of non-conformation is suspected. </w:t>
      </w:r>
    </w:p>
    <w:p w14:paraId="38192E54" w14:textId="70223939" w:rsidR="006B12FF" w:rsidRPr="009627A9" w:rsidRDefault="00540415" w:rsidP="00E65A22">
      <w:pPr>
        <w:spacing w:line="360" w:lineRule="auto"/>
      </w:pPr>
      <w:r>
        <w:t>With regards to post-operative IV</w:t>
      </w:r>
      <w:r w:rsidR="003E4EBC">
        <w:t xml:space="preserve"> antibiotics, there is evidence to support that limiting antibiotics to </w:t>
      </w:r>
      <w:proofErr w:type="spellStart"/>
      <w:r w:rsidR="003E4EBC">
        <w:t>peri</w:t>
      </w:r>
      <w:proofErr w:type="spellEnd"/>
      <w:r w:rsidR="003E4EBC">
        <w:t>-operative treatment is not associated with an increased risk of a surgical site infection.</w:t>
      </w:r>
      <w:r w:rsidR="003E4EBC">
        <w:rPr>
          <w:vertAlign w:val="superscript"/>
        </w:rPr>
        <w:t>7</w:t>
      </w:r>
      <w:r w:rsidR="0009025B">
        <w:rPr>
          <w:vertAlign w:val="superscript"/>
        </w:rPr>
        <w:t xml:space="preserve"> </w:t>
      </w:r>
      <w:r w:rsidR="0009025B">
        <w:t>Previous studies have demonstrated significant variation in prescribing regimes between OMFS units nationally and reinforce that the quality of evidence available regarding antibiotics prophylaxis for mandibular fractures is poor.</w:t>
      </w:r>
      <w:r w:rsidR="0009025B">
        <w:rPr>
          <w:vertAlign w:val="superscript"/>
        </w:rPr>
        <w:t>8</w:t>
      </w:r>
      <w:r w:rsidR="009627A9">
        <w:rPr>
          <w:vertAlign w:val="superscript"/>
        </w:rPr>
        <w:t xml:space="preserve"> </w:t>
      </w:r>
      <w:r w:rsidR="009627A9">
        <w:t xml:space="preserve">A good quality randomised controlled trial is required and specific light needs to be shone on </w:t>
      </w:r>
      <w:r w:rsidR="00B150D6">
        <w:t xml:space="preserve">the necessity of </w:t>
      </w:r>
      <w:r w:rsidR="009627A9">
        <w:t xml:space="preserve">post-operative IV </w:t>
      </w:r>
      <w:r w:rsidR="00B150D6">
        <w:t xml:space="preserve">antibiotics and how switching to oral </w:t>
      </w:r>
      <w:r w:rsidR="001619A0">
        <w:t>antibiotics</w:t>
      </w:r>
      <w:r w:rsidR="00404DD1">
        <w:t xml:space="preserve"> only</w:t>
      </w:r>
      <w:r w:rsidR="00B150D6">
        <w:t xml:space="preserve"> </w:t>
      </w:r>
      <w:r w:rsidR="00404DD1">
        <w:t xml:space="preserve">in the post-operative period could </w:t>
      </w:r>
      <w:r w:rsidR="00B150D6">
        <w:t>lead to a mo</w:t>
      </w:r>
      <w:r w:rsidR="001619A0">
        <w:t xml:space="preserve">re </w:t>
      </w:r>
      <w:r w:rsidR="00591151">
        <w:t>efficient discharge process, financial</w:t>
      </w:r>
      <w:r w:rsidR="001619A0">
        <w:t xml:space="preserve"> savings and better patient care. </w:t>
      </w:r>
    </w:p>
    <w:p w14:paraId="50607395" w14:textId="77777777" w:rsidR="00914DD8" w:rsidRDefault="00914DD8" w:rsidP="00914DD8">
      <w:pPr>
        <w:spacing w:line="360" w:lineRule="auto"/>
      </w:pPr>
    </w:p>
    <w:p w14:paraId="1BA62830" w14:textId="2ABB34EC" w:rsidR="00914DD8" w:rsidRDefault="00404DD1" w:rsidP="00914DD8">
      <w:pPr>
        <w:spacing w:line="360" w:lineRule="auto"/>
      </w:pPr>
      <w:r>
        <w:t>It was considered that p</w:t>
      </w:r>
      <w:r w:rsidR="00914DD8">
        <w:t xml:space="preserve">atients expecting to be discharged the same day as their procedure are more likely to make the necessary arrangements pre-operatively to facilitate their timely discharge e.g. arranging transport home. If presented with the option at 8pm of either a night in the hospital with a complementary breakfast or asking their relative last minute to come and get them, it is no surprise that most patients will chose the former. Patients lack insight into the specifics of the current bed crisis and the domino effect that their unnecessary stay on the ward will have on flow through the hospital. It is the job of the team caring for the patient to ensure they reflect on these implications from the start of the patient journey and that discharge planning is commenced at the decision to admit.   </w:t>
      </w:r>
    </w:p>
    <w:p w14:paraId="4BC95674" w14:textId="77777777" w:rsidR="0072097E" w:rsidRDefault="0072097E" w:rsidP="00540415">
      <w:pPr>
        <w:spacing w:line="360" w:lineRule="auto"/>
      </w:pPr>
    </w:p>
    <w:p w14:paraId="06067DF4" w14:textId="7EDACF11" w:rsidR="0072097E" w:rsidRDefault="0072097E" w:rsidP="00540415">
      <w:pPr>
        <w:spacing w:line="360" w:lineRule="auto"/>
      </w:pPr>
      <w:r>
        <w:t xml:space="preserve">The outcome of this project was the production of an A4 poster (Appendix 1) to encourage </w:t>
      </w:r>
      <w:r w:rsidR="00404DD1">
        <w:t xml:space="preserve">all </w:t>
      </w:r>
      <w:r>
        <w:t xml:space="preserve">members of the team to reflect on how to reduce post-operative </w:t>
      </w:r>
      <w:proofErr w:type="spellStart"/>
      <w:r w:rsidR="00CB0FAE">
        <w:t>LoS</w:t>
      </w:r>
      <w:proofErr w:type="spellEnd"/>
      <w:r w:rsidR="00CB0FAE">
        <w:t xml:space="preserve"> for ORIF mandible </w:t>
      </w:r>
      <w:r w:rsidR="00404DD1">
        <w:t>patients</w:t>
      </w:r>
      <w:r w:rsidR="00CB0FAE">
        <w:t xml:space="preserve"> </w:t>
      </w:r>
      <w:r w:rsidR="00404DD1">
        <w:t xml:space="preserve">through </w:t>
      </w:r>
      <w:r w:rsidR="00CB0FAE">
        <w:t>the parameters discussed.</w:t>
      </w:r>
      <w:r>
        <w:t xml:space="preserve"> This is a resource that can be adapted and shared between trusts to encourage positive change on a national level. </w:t>
      </w:r>
    </w:p>
    <w:p w14:paraId="4AEFA9A1" w14:textId="77777777" w:rsidR="0072097E" w:rsidRDefault="0072097E" w:rsidP="00540415">
      <w:pPr>
        <w:spacing w:line="360" w:lineRule="auto"/>
      </w:pPr>
    </w:p>
    <w:p w14:paraId="4659EF45" w14:textId="77777777" w:rsidR="00655BAD" w:rsidRDefault="00655BAD" w:rsidP="00540415">
      <w:pPr>
        <w:spacing w:line="360" w:lineRule="auto"/>
        <w:rPr>
          <w:b/>
        </w:rPr>
      </w:pPr>
    </w:p>
    <w:p w14:paraId="745C215B" w14:textId="0D789B52" w:rsidR="002A4C8D" w:rsidRDefault="002A4C8D" w:rsidP="00540415">
      <w:pPr>
        <w:spacing w:line="360" w:lineRule="auto"/>
        <w:rPr>
          <w:b/>
        </w:rPr>
      </w:pPr>
      <w:r w:rsidRPr="002A4C8D">
        <w:rPr>
          <w:b/>
        </w:rPr>
        <w:t xml:space="preserve">Conclusion </w:t>
      </w:r>
    </w:p>
    <w:p w14:paraId="6AB46B90" w14:textId="77777777" w:rsidR="002A4C8D" w:rsidRDefault="002A4C8D" w:rsidP="00540415">
      <w:pPr>
        <w:spacing w:line="360" w:lineRule="auto"/>
        <w:rPr>
          <w:b/>
        </w:rPr>
      </w:pPr>
    </w:p>
    <w:p w14:paraId="268F716B" w14:textId="2F7ED97A" w:rsidR="002A4C8D" w:rsidRDefault="00404DD1" w:rsidP="00540415">
      <w:pPr>
        <w:spacing w:line="360" w:lineRule="auto"/>
        <w:rPr>
          <w:b/>
        </w:rPr>
      </w:pPr>
      <w:r>
        <w:t>W</w:t>
      </w:r>
      <w:r w:rsidRPr="002E0CAC">
        <w:t xml:space="preserve">hen the correct patients </w:t>
      </w:r>
      <w:r>
        <w:t>are</w:t>
      </w:r>
      <w:r w:rsidRPr="002E0CAC">
        <w:t xml:space="preserve"> identified</w:t>
      </w:r>
      <w:r>
        <w:t xml:space="preserve">, </w:t>
      </w:r>
      <w:r w:rsidR="00D61029">
        <w:t>surgical management of isolated</w:t>
      </w:r>
      <w:r w:rsidR="002A4C8D">
        <w:t xml:space="preserve"> mandible fractures </w:t>
      </w:r>
      <w:proofErr w:type="gramStart"/>
      <w:r w:rsidR="00D14BEA">
        <w:t>are</w:t>
      </w:r>
      <w:proofErr w:type="gramEnd"/>
      <w:r w:rsidR="00D14BEA">
        <w:t xml:space="preserve"> a suitable</w:t>
      </w:r>
      <w:r>
        <w:t xml:space="preserve"> </w:t>
      </w:r>
      <w:r w:rsidR="002A4C8D">
        <w:t xml:space="preserve">day-case procedure. Despite this, </w:t>
      </w:r>
      <w:r w:rsidR="000C5CD1">
        <w:t xml:space="preserve">the average post-operative </w:t>
      </w:r>
      <w:proofErr w:type="spellStart"/>
      <w:r>
        <w:t>LoS</w:t>
      </w:r>
      <w:proofErr w:type="spellEnd"/>
      <w:r w:rsidR="00D61029">
        <w:t xml:space="preserve"> </w:t>
      </w:r>
      <w:r w:rsidR="000C5CD1">
        <w:t xml:space="preserve">for an otherwise fit and well patient is 23.5 hours. Multiple areas of potential change </w:t>
      </w:r>
      <w:r w:rsidR="00D61029">
        <w:t xml:space="preserve">have been </w:t>
      </w:r>
      <w:r w:rsidR="000C5CD1">
        <w:t xml:space="preserve">discussed and this raised questions regarding the necessity of post-operative radiographs and IV antibiotics that have the potential to delay discharge. A resource was produced that can be used to raise awareness about </w:t>
      </w:r>
      <w:r w:rsidR="00EA63CC">
        <w:t>unnecessary</w:t>
      </w:r>
      <w:r w:rsidR="000C5CD1">
        <w:t xml:space="preserve"> post-operative </w:t>
      </w:r>
      <w:proofErr w:type="spellStart"/>
      <w:r w:rsidR="000C5CD1">
        <w:t>LoS</w:t>
      </w:r>
      <w:proofErr w:type="spellEnd"/>
      <w:r w:rsidR="000C5CD1">
        <w:t xml:space="preserve"> and aims to improve patient flow across the hospital. </w:t>
      </w:r>
    </w:p>
    <w:p w14:paraId="67FEE43E" w14:textId="77777777" w:rsidR="002A4C8D" w:rsidRDefault="002A4C8D" w:rsidP="00540415">
      <w:pPr>
        <w:spacing w:line="360" w:lineRule="auto"/>
        <w:rPr>
          <w:b/>
        </w:rPr>
      </w:pPr>
    </w:p>
    <w:p w14:paraId="712008CA" w14:textId="77777777" w:rsidR="00655BAD" w:rsidRDefault="00655BAD" w:rsidP="00540415">
      <w:pPr>
        <w:spacing w:line="360" w:lineRule="auto"/>
        <w:rPr>
          <w:b/>
        </w:rPr>
      </w:pPr>
      <w:bookmarkStart w:id="0" w:name="_GoBack"/>
      <w:bookmarkEnd w:id="0"/>
    </w:p>
    <w:p w14:paraId="74FE0F9C" w14:textId="77777777" w:rsidR="00655BAD" w:rsidRDefault="00655BAD" w:rsidP="00540415">
      <w:pPr>
        <w:spacing w:line="360" w:lineRule="auto"/>
        <w:rPr>
          <w:b/>
        </w:rPr>
      </w:pPr>
    </w:p>
    <w:p w14:paraId="146F4830" w14:textId="77777777" w:rsidR="00655BAD" w:rsidRDefault="00655BAD" w:rsidP="00540415">
      <w:pPr>
        <w:spacing w:line="360" w:lineRule="auto"/>
        <w:rPr>
          <w:b/>
        </w:rPr>
      </w:pPr>
    </w:p>
    <w:p w14:paraId="0032EA02" w14:textId="77777777" w:rsidR="00655BAD" w:rsidRPr="00BA2E0B" w:rsidRDefault="00655BAD" w:rsidP="00655BAD">
      <w:pPr>
        <w:pStyle w:val="NormalWeb"/>
        <w:rPr>
          <w:b/>
        </w:rPr>
      </w:pPr>
      <w:r>
        <w:rPr>
          <w:rFonts w:ascii="Cambria" w:hAnsi="Cambria"/>
          <w:b/>
          <w:sz w:val="24"/>
          <w:szCs w:val="24"/>
        </w:rPr>
        <w:t>References</w:t>
      </w:r>
    </w:p>
    <w:p w14:paraId="3C4808DF" w14:textId="77777777" w:rsidR="00655BAD" w:rsidRDefault="00655BAD" w:rsidP="00655BAD">
      <w:pPr>
        <w:pStyle w:val="NormalWeb"/>
        <w:numPr>
          <w:ilvl w:val="0"/>
          <w:numId w:val="1"/>
        </w:numPr>
        <w:rPr>
          <w:rFonts w:ascii="Cambria" w:hAnsi="Cambria"/>
          <w:sz w:val="24"/>
          <w:szCs w:val="24"/>
        </w:rPr>
      </w:pPr>
      <w:r>
        <w:rPr>
          <w:rFonts w:ascii="Cambria" w:hAnsi="Cambria"/>
          <w:sz w:val="24"/>
          <w:szCs w:val="24"/>
        </w:rPr>
        <w:t xml:space="preserve">NHS England. Provisional Accident and Emergency Quality Indicators for England, March 2023. Available </w:t>
      </w:r>
      <w:proofErr w:type="gramStart"/>
      <w:r>
        <w:rPr>
          <w:rFonts w:ascii="Cambria" w:hAnsi="Cambria"/>
          <w:sz w:val="24"/>
          <w:szCs w:val="24"/>
        </w:rPr>
        <w:t>at :</w:t>
      </w:r>
      <w:proofErr w:type="gramEnd"/>
      <w:r>
        <w:rPr>
          <w:rFonts w:ascii="Cambria" w:hAnsi="Cambria"/>
          <w:sz w:val="24"/>
          <w:szCs w:val="24"/>
        </w:rPr>
        <w:t>https://digital.nhs.uk/data-and- information/publications/statistical/provisional-accident-and-emergency-quality- indicators-for-</w:t>
      </w:r>
      <w:proofErr w:type="spellStart"/>
      <w:r>
        <w:rPr>
          <w:rFonts w:ascii="Cambria" w:hAnsi="Cambria"/>
          <w:sz w:val="24"/>
          <w:szCs w:val="24"/>
        </w:rPr>
        <w:t>england</w:t>
      </w:r>
      <w:proofErr w:type="spellEnd"/>
      <w:r>
        <w:rPr>
          <w:rFonts w:ascii="Cambria" w:hAnsi="Cambria"/>
          <w:sz w:val="24"/>
          <w:szCs w:val="24"/>
        </w:rPr>
        <w:t xml:space="preserve">/march-2023-by-provider. Accessed 9th June 2023. </w:t>
      </w:r>
    </w:p>
    <w:p w14:paraId="32892B0E" w14:textId="77777777" w:rsidR="00655BAD" w:rsidRDefault="00655BAD" w:rsidP="00655BAD">
      <w:pPr>
        <w:pStyle w:val="NormalWeb"/>
        <w:numPr>
          <w:ilvl w:val="0"/>
          <w:numId w:val="1"/>
        </w:numPr>
        <w:rPr>
          <w:rFonts w:ascii="Cambria" w:hAnsi="Cambria"/>
          <w:sz w:val="24"/>
          <w:szCs w:val="24"/>
        </w:rPr>
      </w:pPr>
      <w:r>
        <w:rPr>
          <w:rFonts w:ascii="Cambria" w:hAnsi="Cambria"/>
          <w:sz w:val="24"/>
          <w:szCs w:val="24"/>
        </w:rPr>
        <w:t xml:space="preserve">O'Connor RC, </w:t>
      </w:r>
      <w:proofErr w:type="spellStart"/>
      <w:r>
        <w:rPr>
          <w:rFonts w:ascii="Cambria" w:hAnsi="Cambria"/>
          <w:sz w:val="24"/>
          <w:szCs w:val="24"/>
        </w:rPr>
        <w:t>Shakib</w:t>
      </w:r>
      <w:proofErr w:type="spellEnd"/>
      <w:r>
        <w:rPr>
          <w:rFonts w:ascii="Cambria" w:hAnsi="Cambria"/>
          <w:sz w:val="24"/>
          <w:szCs w:val="24"/>
        </w:rPr>
        <w:t xml:space="preserve"> K, Brennan PA. Recent advances in the management of oral and maxillofacial trauma. Br J Oral Maxillofac Surg. 2015; 53(10)</w:t>
      </w:r>
      <w:proofErr w:type="gramStart"/>
      <w:r>
        <w:rPr>
          <w:rFonts w:ascii="Cambria" w:hAnsi="Cambria"/>
          <w:sz w:val="24"/>
          <w:szCs w:val="24"/>
        </w:rPr>
        <w:t>:913</w:t>
      </w:r>
      <w:proofErr w:type="gramEnd"/>
      <w:r>
        <w:rPr>
          <w:rFonts w:ascii="Cambria" w:hAnsi="Cambria"/>
          <w:sz w:val="24"/>
          <w:szCs w:val="24"/>
        </w:rPr>
        <w:t xml:space="preserve">-21. </w:t>
      </w:r>
    </w:p>
    <w:p w14:paraId="53458A5B" w14:textId="77777777" w:rsidR="00655BAD" w:rsidRDefault="00655BAD" w:rsidP="00655BAD">
      <w:pPr>
        <w:pStyle w:val="NormalWeb"/>
        <w:numPr>
          <w:ilvl w:val="0"/>
          <w:numId w:val="1"/>
        </w:numPr>
        <w:rPr>
          <w:rFonts w:ascii="Cambria" w:hAnsi="Cambria"/>
          <w:sz w:val="24"/>
          <w:szCs w:val="24"/>
        </w:rPr>
      </w:pPr>
      <w:proofErr w:type="spellStart"/>
      <w:r>
        <w:rPr>
          <w:rFonts w:ascii="Cambria" w:hAnsi="Cambria"/>
          <w:sz w:val="24"/>
          <w:szCs w:val="24"/>
        </w:rPr>
        <w:t>Haq</w:t>
      </w:r>
      <w:proofErr w:type="spellEnd"/>
      <w:r>
        <w:rPr>
          <w:rFonts w:ascii="Cambria" w:hAnsi="Cambria"/>
          <w:sz w:val="24"/>
          <w:szCs w:val="24"/>
        </w:rPr>
        <w:t xml:space="preserve"> J, </w:t>
      </w:r>
      <w:proofErr w:type="spellStart"/>
      <w:r>
        <w:rPr>
          <w:rFonts w:ascii="Cambria" w:hAnsi="Cambria"/>
          <w:sz w:val="24"/>
          <w:szCs w:val="24"/>
        </w:rPr>
        <w:t>Olding</w:t>
      </w:r>
      <w:proofErr w:type="spellEnd"/>
      <w:r>
        <w:rPr>
          <w:rFonts w:ascii="Cambria" w:hAnsi="Cambria"/>
          <w:sz w:val="24"/>
          <w:szCs w:val="24"/>
        </w:rPr>
        <w:t xml:space="preserve"> J, </w:t>
      </w:r>
      <w:proofErr w:type="spellStart"/>
      <w:r>
        <w:rPr>
          <w:rFonts w:ascii="Cambria" w:hAnsi="Cambria"/>
          <w:sz w:val="24"/>
          <w:szCs w:val="24"/>
        </w:rPr>
        <w:t>Chegini</w:t>
      </w:r>
      <w:proofErr w:type="spellEnd"/>
      <w:r>
        <w:rPr>
          <w:rFonts w:ascii="Cambria" w:hAnsi="Cambria"/>
          <w:sz w:val="24"/>
          <w:szCs w:val="24"/>
        </w:rPr>
        <w:t xml:space="preserve"> S, </w:t>
      </w:r>
      <w:proofErr w:type="spellStart"/>
      <w:r>
        <w:rPr>
          <w:rFonts w:ascii="Cambria" w:hAnsi="Cambria"/>
          <w:sz w:val="24"/>
          <w:szCs w:val="24"/>
        </w:rPr>
        <w:t>Huppa</w:t>
      </w:r>
      <w:proofErr w:type="spellEnd"/>
      <w:r>
        <w:rPr>
          <w:rFonts w:ascii="Cambria" w:hAnsi="Cambria"/>
          <w:sz w:val="24"/>
          <w:szCs w:val="24"/>
        </w:rPr>
        <w:t xml:space="preserve"> C, Bentley R, Fan K. Development of a financially viable model for the management of mandibular fractures as day cases in a level 1 major trauma centre. Br J Oral Maxillofac Surg. 2017; 55(6)</w:t>
      </w:r>
      <w:proofErr w:type="gramStart"/>
      <w:r>
        <w:rPr>
          <w:rFonts w:ascii="Cambria" w:hAnsi="Cambria"/>
          <w:sz w:val="24"/>
          <w:szCs w:val="24"/>
        </w:rPr>
        <w:t>:618</w:t>
      </w:r>
      <w:proofErr w:type="gramEnd"/>
      <w:r>
        <w:rPr>
          <w:rFonts w:ascii="Cambria" w:hAnsi="Cambria"/>
          <w:sz w:val="24"/>
          <w:szCs w:val="24"/>
        </w:rPr>
        <w:t xml:space="preserve">-622. </w:t>
      </w:r>
    </w:p>
    <w:p w14:paraId="2DD9AFD5" w14:textId="77777777" w:rsidR="00655BAD" w:rsidRDefault="00655BAD" w:rsidP="00655BAD">
      <w:pPr>
        <w:pStyle w:val="NormalWeb"/>
        <w:numPr>
          <w:ilvl w:val="0"/>
          <w:numId w:val="1"/>
        </w:numPr>
        <w:rPr>
          <w:rFonts w:ascii="Cambria" w:hAnsi="Cambria"/>
          <w:sz w:val="24"/>
          <w:szCs w:val="24"/>
        </w:rPr>
      </w:pPr>
      <w:proofErr w:type="spellStart"/>
      <w:r>
        <w:rPr>
          <w:rFonts w:ascii="Cambria" w:hAnsi="Cambria"/>
          <w:sz w:val="24"/>
          <w:szCs w:val="24"/>
        </w:rPr>
        <w:t>Gray</w:t>
      </w:r>
      <w:proofErr w:type="spellEnd"/>
      <w:r>
        <w:rPr>
          <w:rFonts w:ascii="Cambria" w:hAnsi="Cambria"/>
          <w:sz w:val="24"/>
          <w:szCs w:val="24"/>
        </w:rPr>
        <w:t xml:space="preserve"> WK, Day J, Morton M. Can elective surgery for mandibular and zygomatic complex fractures reduce overall hospital stay without compromising outcomes? Analysis of administrative datasets by the GIRFT programme. Br J Oral Maxillofac Surg. 2020 58(9)</w:t>
      </w:r>
      <w:proofErr w:type="gramStart"/>
      <w:r>
        <w:rPr>
          <w:rFonts w:ascii="Cambria" w:hAnsi="Cambria"/>
          <w:sz w:val="24"/>
          <w:szCs w:val="24"/>
        </w:rPr>
        <w:t>:1151</w:t>
      </w:r>
      <w:proofErr w:type="gramEnd"/>
      <w:r>
        <w:rPr>
          <w:rFonts w:ascii="Cambria" w:hAnsi="Cambria"/>
          <w:sz w:val="24"/>
          <w:szCs w:val="24"/>
        </w:rPr>
        <w:t xml:space="preserve">-57. </w:t>
      </w:r>
    </w:p>
    <w:p w14:paraId="133B5200" w14:textId="77777777" w:rsidR="00655BAD" w:rsidRPr="000D7BC0" w:rsidRDefault="00655BAD" w:rsidP="00655BAD">
      <w:pPr>
        <w:pStyle w:val="NormalWeb"/>
        <w:numPr>
          <w:ilvl w:val="0"/>
          <w:numId w:val="1"/>
        </w:numPr>
        <w:rPr>
          <w:rFonts w:ascii="Cambria" w:hAnsi="Cambria"/>
          <w:sz w:val="24"/>
          <w:szCs w:val="24"/>
        </w:rPr>
      </w:pPr>
      <w:proofErr w:type="spellStart"/>
      <w:r>
        <w:rPr>
          <w:rFonts w:ascii="Cambria" w:hAnsi="Cambria"/>
          <w:sz w:val="24"/>
          <w:szCs w:val="24"/>
        </w:rPr>
        <w:t>Dewi</w:t>
      </w:r>
      <w:proofErr w:type="spellEnd"/>
      <w:r>
        <w:rPr>
          <w:rFonts w:ascii="Cambria" w:hAnsi="Cambria"/>
          <w:sz w:val="24"/>
          <w:szCs w:val="24"/>
        </w:rPr>
        <w:t xml:space="preserve"> F, Henry A, Bhatia S. </w:t>
      </w:r>
      <w:r w:rsidRPr="000D7BC0">
        <w:rPr>
          <w:rFonts w:ascii="Cambria" w:hAnsi="Cambria"/>
          <w:sz w:val="24"/>
          <w:szCs w:val="24"/>
        </w:rPr>
        <w:t xml:space="preserve">Postoperative radiographs after open reduction and internal fixation of mandibular fractures: clinical need or unnecessary radiation? </w:t>
      </w:r>
      <w:r>
        <w:rPr>
          <w:rFonts w:ascii="Cambria" w:hAnsi="Cambria"/>
          <w:sz w:val="24"/>
          <w:szCs w:val="24"/>
        </w:rPr>
        <w:t>Br J Oral Maxillofac Surg 2016 54(3): 312-15.</w:t>
      </w:r>
    </w:p>
    <w:p w14:paraId="65C598BF" w14:textId="77777777" w:rsidR="00655BAD" w:rsidRPr="00BD3C0F" w:rsidRDefault="00655BAD" w:rsidP="00655BAD">
      <w:pPr>
        <w:pStyle w:val="NormalWeb"/>
        <w:numPr>
          <w:ilvl w:val="0"/>
          <w:numId w:val="1"/>
        </w:numPr>
        <w:rPr>
          <w:rFonts w:ascii="Cambria" w:hAnsi="Cambria"/>
          <w:sz w:val="24"/>
          <w:szCs w:val="24"/>
        </w:rPr>
      </w:pPr>
      <w:r w:rsidRPr="00BD3C0F">
        <w:rPr>
          <w:rFonts w:ascii="Cambria" w:hAnsi="Cambria"/>
          <w:sz w:val="24"/>
          <w:szCs w:val="24"/>
        </w:rPr>
        <w:t>Jain MK, Alexander M. The need of postop</w:t>
      </w:r>
      <w:r>
        <w:rPr>
          <w:rFonts w:ascii="Cambria" w:hAnsi="Cambria"/>
          <w:sz w:val="24"/>
          <w:szCs w:val="24"/>
        </w:rPr>
        <w:t>erative radiographs in maxillo</w:t>
      </w:r>
      <w:r w:rsidRPr="00BD3C0F">
        <w:rPr>
          <w:rFonts w:ascii="Cambria" w:hAnsi="Cambria"/>
          <w:sz w:val="24"/>
          <w:szCs w:val="24"/>
        </w:rPr>
        <w:t xml:space="preserve">facial fractures – a prospective </w:t>
      </w:r>
      <w:proofErr w:type="spellStart"/>
      <w:r w:rsidRPr="00BD3C0F">
        <w:rPr>
          <w:rFonts w:ascii="Cambria" w:hAnsi="Cambria"/>
          <w:sz w:val="24"/>
          <w:szCs w:val="24"/>
        </w:rPr>
        <w:t>multicentric</w:t>
      </w:r>
      <w:proofErr w:type="spellEnd"/>
      <w:r w:rsidRPr="00BD3C0F">
        <w:rPr>
          <w:rFonts w:ascii="Cambria" w:hAnsi="Cambria"/>
          <w:sz w:val="24"/>
          <w:szCs w:val="24"/>
        </w:rPr>
        <w:t xml:space="preserve"> study. Br J Oral Maxillofac Surg 2009</w:t>
      </w:r>
      <w:proofErr w:type="gramStart"/>
      <w:r w:rsidRPr="00BD3C0F">
        <w:rPr>
          <w:rFonts w:ascii="Cambria" w:hAnsi="Cambria"/>
          <w:sz w:val="24"/>
          <w:szCs w:val="24"/>
        </w:rPr>
        <w:t>;47:525</w:t>
      </w:r>
      <w:proofErr w:type="gramEnd"/>
      <w:r w:rsidRPr="00BD3C0F">
        <w:rPr>
          <w:rFonts w:ascii="Cambria" w:hAnsi="Cambria"/>
          <w:sz w:val="24"/>
          <w:szCs w:val="24"/>
        </w:rPr>
        <w:t xml:space="preserve">–9. </w:t>
      </w:r>
    </w:p>
    <w:p w14:paraId="6881D3EA" w14:textId="77777777" w:rsidR="00655BAD" w:rsidRPr="003E4EBC" w:rsidRDefault="00655BAD" w:rsidP="00655BAD">
      <w:pPr>
        <w:pStyle w:val="ListParagraph"/>
        <w:numPr>
          <w:ilvl w:val="0"/>
          <w:numId w:val="1"/>
        </w:numPr>
        <w:rPr>
          <w:rFonts w:ascii="Cambria" w:hAnsi="Cambria" w:cs="Times New Roman"/>
          <w:lang w:val="en-GB"/>
        </w:rPr>
      </w:pPr>
      <w:proofErr w:type="spellStart"/>
      <w:r w:rsidRPr="003E4EBC">
        <w:rPr>
          <w:rFonts w:ascii="Cambria" w:hAnsi="Cambria" w:cs="Times New Roman"/>
          <w:lang w:val="en-GB"/>
        </w:rPr>
        <w:t>Gaal</w:t>
      </w:r>
      <w:proofErr w:type="spellEnd"/>
      <w:r w:rsidRPr="003E4EBC">
        <w:rPr>
          <w:rFonts w:ascii="Cambria" w:hAnsi="Cambria" w:cs="Times New Roman"/>
          <w:lang w:val="en-GB"/>
        </w:rPr>
        <w:t xml:space="preserve"> A, Bailey B, Patel Y, et al. Limiting Antibiotics When Managing Mandible Fractures May Not Increase Infection Risk. J Oral Maxillofac Surg</w:t>
      </w:r>
      <w:r>
        <w:rPr>
          <w:rFonts w:ascii="Cambria" w:hAnsi="Cambria" w:cs="Times New Roman"/>
          <w:lang w:val="en-GB"/>
        </w:rPr>
        <w:t>. 2016</w:t>
      </w:r>
      <w:proofErr w:type="gramStart"/>
      <w:r>
        <w:rPr>
          <w:rFonts w:ascii="Cambria" w:hAnsi="Cambria" w:cs="Times New Roman"/>
          <w:lang w:val="en-GB"/>
        </w:rPr>
        <w:t>;74</w:t>
      </w:r>
      <w:proofErr w:type="gramEnd"/>
      <w:r>
        <w:rPr>
          <w:rFonts w:ascii="Cambria" w:hAnsi="Cambria" w:cs="Times New Roman"/>
          <w:lang w:val="en-GB"/>
        </w:rPr>
        <w:t>(10):2008-</w:t>
      </w:r>
      <w:r w:rsidRPr="003E4EBC">
        <w:rPr>
          <w:rFonts w:ascii="Cambria" w:hAnsi="Cambria" w:cs="Times New Roman"/>
          <w:lang w:val="en-GB"/>
        </w:rPr>
        <w:t>18. </w:t>
      </w:r>
    </w:p>
    <w:p w14:paraId="57ABB3DD" w14:textId="77777777" w:rsidR="00655BAD" w:rsidRPr="0009025B" w:rsidRDefault="00655BAD" w:rsidP="00655BAD">
      <w:pPr>
        <w:pStyle w:val="ListParagraph"/>
        <w:numPr>
          <w:ilvl w:val="0"/>
          <w:numId w:val="1"/>
        </w:numPr>
        <w:rPr>
          <w:rFonts w:ascii="Cambria" w:hAnsi="Cambria" w:cs="Times New Roman"/>
          <w:lang w:val="en-GB"/>
        </w:rPr>
      </w:pPr>
      <w:proofErr w:type="spellStart"/>
      <w:r w:rsidRPr="0009025B">
        <w:rPr>
          <w:rFonts w:ascii="Cambria" w:hAnsi="Cambria" w:cs="Times New Roman"/>
          <w:lang w:val="en-GB"/>
        </w:rPr>
        <w:t>Dawoud</w:t>
      </w:r>
      <w:proofErr w:type="spellEnd"/>
      <w:r w:rsidRPr="0009025B">
        <w:rPr>
          <w:rFonts w:ascii="Cambria" w:hAnsi="Cambria" w:cs="Times New Roman"/>
          <w:lang w:val="en-GB"/>
        </w:rPr>
        <w:t xml:space="preserve"> BES, Kent S, Henry A, </w:t>
      </w:r>
      <w:proofErr w:type="gramStart"/>
      <w:r w:rsidRPr="0009025B">
        <w:rPr>
          <w:rFonts w:ascii="Cambria" w:hAnsi="Cambria" w:cs="Times New Roman"/>
          <w:lang w:val="en-GB"/>
        </w:rPr>
        <w:t>et</w:t>
      </w:r>
      <w:proofErr w:type="gramEnd"/>
      <w:r w:rsidRPr="0009025B">
        <w:rPr>
          <w:rFonts w:ascii="Cambria" w:hAnsi="Cambria" w:cs="Times New Roman"/>
          <w:lang w:val="en-GB"/>
        </w:rPr>
        <w:t xml:space="preserve"> al. Use of antibiotics in traumatic mandibular fractures: a systematic review and meta-analysis. Br J Oral Maxillofac Surg</w:t>
      </w:r>
      <w:r>
        <w:rPr>
          <w:rFonts w:ascii="Cambria" w:hAnsi="Cambria" w:cs="Times New Roman"/>
          <w:lang w:val="en-GB"/>
        </w:rPr>
        <w:t>. 2021</w:t>
      </w:r>
      <w:proofErr w:type="gramStart"/>
      <w:r>
        <w:rPr>
          <w:rFonts w:ascii="Cambria" w:hAnsi="Cambria" w:cs="Times New Roman"/>
          <w:lang w:val="en-GB"/>
        </w:rPr>
        <w:t>;59</w:t>
      </w:r>
      <w:proofErr w:type="gramEnd"/>
      <w:r>
        <w:rPr>
          <w:rFonts w:ascii="Cambria" w:hAnsi="Cambria" w:cs="Times New Roman"/>
          <w:lang w:val="en-GB"/>
        </w:rPr>
        <w:t>(10):1140-</w:t>
      </w:r>
      <w:r w:rsidRPr="0009025B">
        <w:rPr>
          <w:rFonts w:ascii="Cambria" w:hAnsi="Cambria" w:cs="Times New Roman"/>
          <w:lang w:val="en-GB"/>
        </w:rPr>
        <w:t>47. </w:t>
      </w:r>
    </w:p>
    <w:p w14:paraId="38871E94" w14:textId="77777777" w:rsidR="002A4C8D" w:rsidRPr="002A4C8D" w:rsidRDefault="002A4C8D" w:rsidP="00540415">
      <w:pPr>
        <w:spacing w:line="360" w:lineRule="auto"/>
        <w:rPr>
          <w:b/>
        </w:rPr>
      </w:pPr>
    </w:p>
    <w:p w14:paraId="3CF8B0F9" w14:textId="77777777" w:rsidR="00EA63CC" w:rsidRDefault="00EA63CC" w:rsidP="00540415">
      <w:pPr>
        <w:spacing w:line="360" w:lineRule="auto"/>
        <w:rPr>
          <w:b/>
        </w:rPr>
      </w:pPr>
    </w:p>
    <w:p w14:paraId="0C3116CF" w14:textId="77777777" w:rsidR="00655BAD" w:rsidRDefault="00655BAD" w:rsidP="00540415">
      <w:pPr>
        <w:spacing w:line="360" w:lineRule="auto"/>
        <w:rPr>
          <w:b/>
        </w:rPr>
      </w:pPr>
    </w:p>
    <w:p w14:paraId="1E06AF04" w14:textId="77777777" w:rsidR="00EA63CC" w:rsidRDefault="0072097E" w:rsidP="00540415">
      <w:pPr>
        <w:spacing w:line="360" w:lineRule="auto"/>
        <w:rPr>
          <w:b/>
        </w:rPr>
      </w:pPr>
      <w:r w:rsidRPr="0072097E">
        <w:rPr>
          <w:b/>
        </w:rPr>
        <w:t>Appendix 1</w:t>
      </w:r>
    </w:p>
    <w:p w14:paraId="3B268379" w14:textId="77777777" w:rsidR="00EA63CC" w:rsidRDefault="00EA63CC" w:rsidP="00540415">
      <w:pPr>
        <w:spacing w:line="360" w:lineRule="auto"/>
        <w:rPr>
          <w:b/>
        </w:rPr>
      </w:pPr>
    </w:p>
    <w:p w14:paraId="494A6F10" w14:textId="3207414A" w:rsidR="002E0CAC" w:rsidRPr="002E0CAC" w:rsidRDefault="00EA63CC" w:rsidP="00703DC0">
      <w:pPr>
        <w:spacing w:line="360" w:lineRule="auto"/>
        <w:rPr>
          <w:b/>
        </w:rPr>
      </w:pPr>
      <w:r>
        <w:rPr>
          <w:b/>
          <w:noProof/>
        </w:rPr>
        <w:drawing>
          <wp:anchor distT="0" distB="0" distL="114300" distR="114300" simplePos="0" relativeHeight="251658240" behindDoc="0" locked="0" layoutInCell="1" allowOverlap="1" wp14:anchorId="31293A51" wp14:editId="3393FD65">
            <wp:simplePos x="0" y="0"/>
            <wp:positionH relativeFrom="margin">
              <wp:align>center</wp:align>
            </wp:positionH>
            <wp:positionV relativeFrom="margin">
              <wp:align>center</wp:align>
            </wp:positionV>
            <wp:extent cx="5572760" cy="78867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and Green Minimalist Modern Business Infographic Poster.pdf"/>
                    <pic:cNvPicPr/>
                  </pic:nvPicPr>
                  <pic:blipFill>
                    <a:blip r:embed="rId12">
                      <a:extLst>
                        <a:ext uri="{28A0092B-C50C-407E-A947-70E740481C1C}">
                          <a14:useLocalDpi xmlns:a14="http://schemas.microsoft.com/office/drawing/2010/main" val="0"/>
                        </a:ext>
                      </a:extLst>
                    </a:blip>
                    <a:stretch>
                      <a:fillRect/>
                    </a:stretch>
                  </pic:blipFill>
                  <pic:spPr>
                    <a:xfrm>
                      <a:off x="0" y="0"/>
                      <a:ext cx="5572760" cy="7886700"/>
                    </a:xfrm>
                    <a:prstGeom prst="rect">
                      <a:avLst/>
                    </a:prstGeom>
                  </pic:spPr>
                </pic:pic>
              </a:graphicData>
            </a:graphic>
          </wp:anchor>
        </w:drawing>
      </w:r>
    </w:p>
    <w:sectPr w:rsidR="002E0CAC" w:rsidRPr="002E0CAC" w:rsidSect="002E0CAC">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5190"/>
    <w:multiLevelType w:val="multilevel"/>
    <w:tmpl w:val="B1D4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F825B3"/>
    <w:multiLevelType w:val="multilevel"/>
    <w:tmpl w:val="DBE2F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8E5C06"/>
    <w:multiLevelType w:val="multilevel"/>
    <w:tmpl w:val="4442F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AC"/>
    <w:rsid w:val="0009025B"/>
    <w:rsid w:val="000C5CD1"/>
    <w:rsid w:val="000D7BC0"/>
    <w:rsid w:val="000F609B"/>
    <w:rsid w:val="001619A0"/>
    <w:rsid w:val="00221BA5"/>
    <w:rsid w:val="002A4C8D"/>
    <w:rsid w:val="002E0CAC"/>
    <w:rsid w:val="002F085C"/>
    <w:rsid w:val="00320C17"/>
    <w:rsid w:val="00350405"/>
    <w:rsid w:val="003E4EBC"/>
    <w:rsid w:val="00404DD1"/>
    <w:rsid w:val="004D11C1"/>
    <w:rsid w:val="00540415"/>
    <w:rsid w:val="00591151"/>
    <w:rsid w:val="006255E0"/>
    <w:rsid w:val="00655BAD"/>
    <w:rsid w:val="006B12FF"/>
    <w:rsid w:val="006B707F"/>
    <w:rsid w:val="00703DC0"/>
    <w:rsid w:val="0072097E"/>
    <w:rsid w:val="008B1DF7"/>
    <w:rsid w:val="00914DD8"/>
    <w:rsid w:val="009627A9"/>
    <w:rsid w:val="00A113D6"/>
    <w:rsid w:val="00A12A62"/>
    <w:rsid w:val="00AD067F"/>
    <w:rsid w:val="00AD5046"/>
    <w:rsid w:val="00B150D6"/>
    <w:rsid w:val="00B92690"/>
    <w:rsid w:val="00BA2E0B"/>
    <w:rsid w:val="00BB116D"/>
    <w:rsid w:val="00BD3C0F"/>
    <w:rsid w:val="00CA0C61"/>
    <w:rsid w:val="00CB0FAE"/>
    <w:rsid w:val="00D14BEA"/>
    <w:rsid w:val="00D61029"/>
    <w:rsid w:val="00E65A22"/>
    <w:rsid w:val="00EA63CC"/>
    <w:rsid w:val="00F21873"/>
    <w:rsid w:val="00FD4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06BE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A2E0B"/>
    <w:pPr>
      <w:spacing w:before="100" w:beforeAutospacing="1" w:after="100" w:afterAutospacing="1"/>
      <w:outlineLvl w:val="3"/>
    </w:pPr>
    <w:rPr>
      <w:rFonts w:ascii="Times New Roman" w:hAnsi="Times New Roman" w:cs="Times New Roman"/>
      <w:b/>
      <w:bCs/>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0CAC"/>
    <w:pPr>
      <w:widowControl w:val="0"/>
      <w:autoSpaceDE w:val="0"/>
      <w:autoSpaceDN w:val="0"/>
      <w:adjustRightInd w:val="0"/>
    </w:pPr>
    <w:rPr>
      <w:rFonts w:ascii="Cambria" w:hAnsi="Cambria" w:cs="Cambria"/>
      <w:color w:val="000000"/>
    </w:rPr>
  </w:style>
  <w:style w:type="paragraph" w:styleId="NormalWeb">
    <w:name w:val="Normal (Web)"/>
    <w:basedOn w:val="Normal"/>
    <w:uiPriority w:val="99"/>
    <w:unhideWhenUsed/>
    <w:rsid w:val="002E0CAC"/>
    <w:pPr>
      <w:spacing w:before="100" w:beforeAutospacing="1" w:after="100" w:afterAutospacing="1"/>
    </w:pPr>
    <w:rPr>
      <w:rFonts w:ascii="Times New Roman" w:hAnsi="Times New Roman" w:cs="Times New Roman"/>
      <w:sz w:val="20"/>
      <w:szCs w:val="20"/>
      <w:lang w:val="en-GB"/>
    </w:rPr>
  </w:style>
  <w:style w:type="character" w:customStyle="1" w:styleId="Heading4Char">
    <w:name w:val="Heading 4 Char"/>
    <w:basedOn w:val="DefaultParagraphFont"/>
    <w:link w:val="Heading4"/>
    <w:uiPriority w:val="9"/>
    <w:rsid w:val="00BA2E0B"/>
    <w:rPr>
      <w:rFonts w:ascii="Times New Roman" w:hAnsi="Times New Roman" w:cs="Times New Roman"/>
      <w:b/>
      <w:bCs/>
      <w:lang w:val="en-GB"/>
    </w:rPr>
  </w:style>
  <w:style w:type="paragraph" w:styleId="BalloonText">
    <w:name w:val="Balloon Text"/>
    <w:basedOn w:val="Normal"/>
    <w:link w:val="BalloonTextChar"/>
    <w:uiPriority w:val="99"/>
    <w:semiHidden/>
    <w:unhideWhenUsed/>
    <w:rsid w:val="00720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97E"/>
    <w:rPr>
      <w:rFonts w:ascii="Lucida Grande" w:hAnsi="Lucida Grande" w:cs="Lucida Grande"/>
      <w:sz w:val="18"/>
      <w:szCs w:val="18"/>
    </w:rPr>
  </w:style>
  <w:style w:type="character" w:customStyle="1" w:styleId="apple-converted-space">
    <w:name w:val="apple-converted-space"/>
    <w:basedOn w:val="DefaultParagraphFont"/>
    <w:rsid w:val="003E4EBC"/>
  </w:style>
  <w:style w:type="paragraph" w:styleId="ListParagraph">
    <w:name w:val="List Paragraph"/>
    <w:basedOn w:val="Normal"/>
    <w:uiPriority w:val="34"/>
    <w:qFormat/>
    <w:rsid w:val="003E4EB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A2E0B"/>
    <w:pPr>
      <w:spacing w:before="100" w:beforeAutospacing="1" w:after="100" w:afterAutospacing="1"/>
      <w:outlineLvl w:val="3"/>
    </w:pPr>
    <w:rPr>
      <w:rFonts w:ascii="Times New Roman" w:hAnsi="Times New Roman" w:cs="Times New Roman"/>
      <w:b/>
      <w:bCs/>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0CAC"/>
    <w:pPr>
      <w:widowControl w:val="0"/>
      <w:autoSpaceDE w:val="0"/>
      <w:autoSpaceDN w:val="0"/>
      <w:adjustRightInd w:val="0"/>
    </w:pPr>
    <w:rPr>
      <w:rFonts w:ascii="Cambria" w:hAnsi="Cambria" w:cs="Cambria"/>
      <w:color w:val="000000"/>
    </w:rPr>
  </w:style>
  <w:style w:type="paragraph" w:styleId="NormalWeb">
    <w:name w:val="Normal (Web)"/>
    <w:basedOn w:val="Normal"/>
    <w:uiPriority w:val="99"/>
    <w:unhideWhenUsed/>
    <w:rsid w:val="002E0CAC"/>
    <w:pPr>
      <w:spacing w:before="100" w:beforeAutospacing="1" w:after="100" w:afterAutospacing="1"/>
    </w:pPr>
    <w:rPr>
      <w:rFonts w:ascii="Times New Roman" w:hAnsi="Times New Roman" w:cs="Times New Roman"/>
      <w:sz w:val="20"/>
      <w:szCs w:val="20"/>
      <w:lang w:val="en-GB"/>
    </w:rPr>
  </w:style>
  <w:style w:type="character" w:customStyle="1" w:styleId="Heading4Char">
    <w:name w:val="Heading 4 Char"/>
    <w:basedOn w:val="DefaultParagraphFont"/>
    <w:link w:val="Heading4"/>
    <w:uiPriority w:val="9"/>
    <w:rsid w:val="00BA2E0B"/>
    <w:rPr>
      <w:rFonts w:ascii="Times New Roman" w:hAnsi="Times New Roman" w:cs="Times New Roman"/>
      <w:b/>
      <w:bCs/>
      <w:lang w:val="en-GB"/>
    </w:rPr>
  </w:style>
  <w:style w:type="paragraph" w:styleId="BalloonText">
    <w:name w:val="Balloon Text"/>
    <w:basedOn w:val="Normal"/>
    <w:link w:val="BalloonTextChar"/>
    <w:uiPriority w:val="99"/>
    <w:semiHidden/>
    <w:unhideWhenUsed/>
    <w:rsid w:val="00720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097E"/>
    <w:rPr>
      <w:rFonts w:ascii="Lucida Grande" w:hAnsi="Lucida Grande" w:cs="Lucida Grande"/>
      <w:sz w:val="18"/>
      <w:szCs w:val="18"/>
    </w:rPr>
  </w:style>
  <w:style w:type="character" w:customStyle="1" w:styleId="apple-converted-space">
    <w:name w:val="apple-converted-space"/>
    <w:basedOn w:val="DefaultParagraphFont"/>
    <w:rsid w:val="003E4EBC"/>
  </w:style>
  <w:style w:type="paragraph" w:styleId="ListParagraph">
    <w:name w:val="List Paragraph"/>
    <w:basedOn w:val="Normal"/>
    <w:uiPriority w:val="34"/>
    <w:qFormat/>
    <w:rsid w:val="003E4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13375">
      <w:bodyDiv w:val="1"/>
      <w:marLeft w:val="0"/>
      <w:marRight w:val="0"/>
      <w:marTop w:val="0"/>
      <w:marBottom w:val="0"/>
      <w:divBdr>
        <w:top w:val="none" w:sz="0" w:space="0" w:color="auto"/>
        <w:left w:val="none" w:sz="0" w:space="0" w:color="auto"/>
        <w:bottom w:val="none" w:sz="0" w:space="0" w:color="auto"/>
        <w:right w:val="none" w:sz="0" w:space="0" w:color="auto"/>
      </w:divBdr>
      <w:divsChild>
        <w:div w:id="481233510">
          <w:marLeft w:val="0"/>
          <w:marRight w:val="0"/>
          <w:marTop w:val="0"/>
          <w:marBottom w:val="0"/>
          <w:divBdr>
            <w:top w:val="none" w:sz="0" w:space="0" w:color="auto"/>
            <w:left w:val="none" w:sz="0" w:space="0" w:color="auto"/>
            <w:bottom w:val="none" w:sz="0" w:space="0" w:color="auto"/>
            <w:right w:val="none" w:sz="0" w:space="0" w:color="auto"/>
          </w:divBdr>
          <w:divsChild>
            <w:div w:id="1519196479">
              <w:marLeft w:val="0"/>
              <w:marRight w:val="0"/>
              <w:marTop w:val="0"/>
              <w:marBottom w:val="0"/>
              <w:divBdr>
                <w:top w:val="none" w:sz="0" w:space="0" w:color="auto"/>
                <w:left w:val="none" w:sz="0" w:space="0" w:color="auto"/>
                <w:bottom w:val="none" w:sz="0" w:space="0" w:color="auto"/>
                <w:right w:val="none" w:sz="0" w:space="0" w:color="auto"/>
              </w:divBdr>
              <w:divsChild>
                <w:div w:id="18805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00804">
      <w:bodyDiv w:val="1"/>
      <w:marLeft w:val="0"/>
      <w:marRight w:val="0"/>
      <w:marTop w:val="0"/>
      <w:marBottom w:val="0"/>
      <w:divBdr>
        <w:top w:val="none" w:sz="0" w:space="0" w:color="auto"/>
        <w:left w:val="none" w:sz="0" w:space="0" w:color="auto"/>
        <w:bottom w:val="none" w:sz="0" w:space="0" w:color="auto"/>
        <w:right w:val="none" w:sz="0" w:space="0" w:color="auto"/>
      </w:divBdr>
      <w:divsChild>
        <w:div w:id="798719469">
          <w:marLeft w:val="0"/>
          <w:marRight w:val="0"/>
          <w:marTop w:val="0"/>
          <w:marBottom w:val="0"/>
          <w:divBdr>
            <w:top w:val="none" w:sz="0" w:space="0" w:color="auto"/>
            <w:left w:val="none" w:sz="0" w:space="0" w:color="auto"/>
            <w:bottom w:val="none" w:sz="0" w:space="0" w:color="auto"/>
            <w:right w:val="none" w:sz="0" w:space="0" w:color="auto"/>
          </w:divBdr>
          <w:divsChild>
            <w:div w:id="1288507504">
              <w:marLeft w:val="0"/>
              <w:marRight w:val="0"/>
              <w:marTop w:val="0"/>
              <w:marBottom w:val="0"/>
              <w:divBdr>
                <w:top w:val="none" w:sz="0" w:space="0" w:color="auto"/>
                <w:left w:val="none" w:sz="0" w:space="0" w:color="auto"/>
                <w:bottom w:val="none" w:sz="0" w:space="0" w:color="auto"/>
                <w:right w:val="none" w:sz="0" w:space="0" w:color="auto"/>
              </w:divBdr>
              <w:divsChild>
                <w:div w:id="8755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89115">
      <w:bodyDiv w:val="1"/>
      <w:marLeft w:val="0"/>
      <w:marRight w:val="0"/>
      <w:marTop w:val="0"/>
      <w:marBottom w:val="0"/>
      <w:divBdr>
        <w:top w:val="none" w:sz="0" w:space="0" w:color="auto"/>
        <w:left w:val="none" w:sz="0" w:space="0" w:color="auto"/>
        <w:bottom w:val="none" w:sz="0" w:space="0" w:color="auto"/>
        <w:right w:val="none" w:sz="0" w:space="0" w:color="auto"/>
      </w:divBdr>
      <w:divsChild>
        <w:div w:id="1377972917">
          <w:marLeft w:val="0"/>
          <w:marRight w:val="0"/>
          <w:marTop w:val="0"/>
          <w:marBottom w:val="0"/>
          <w:divBdr>
            <w:top w:val="none" w:sz="0" w:space="0" w:color="auto"/>
            <w:left w:val="none" w:sz="0" w:space="0" w:color="auto"/>
            <w:bottom w:val="none" w:sz="0" w:space="0" w:color="auto"/>
            <w:right w:val="none" w:sz="0" w:space="0" w:color="auto"/>
          </w:divBdr>
        </w:div>
        <w:div w:id="1308852027">
          <w:marLeft w:val="0"/>
          <w:marRight w:val="0"/>
          <w:marTop w:val="0"/>
          <w:marBottom w:val="0"/>
          <w:divBdr>
            <w:top w:val="none" w:sz="0" w:space="0" w:color="auto"/>
            <w:left w:val="none" w:sz="0" w:space="0" w:color="auto"/>
            <w:bottom w:val="none" w:sz="0" w:space="0" w:color="auto"/>
            <w:right w:val="none" w:sz="0" w:space="0" w:color="auto"/>
          </w:divBdr>
        </w:div>
      </w:divsChild>
    </w:div>
    <w:div w:id="687829402">
      <w:bodyDiv w:val="1"/>
      <w:marLeft w:val="0"/>
      <w:marRight w:val="0"/>
      <w:marTop w:val="0"/>
      <w:marBottom w:val="0"/>
      <w:divBdr>
        <w:top w:val="none" w:sz="0" w:space="0" w:color="auto"/>
        <w:left w:val="none" w:sz="0" w:space="0" w:color="auto"/>
        <w:bottom w:val="none" w:sz="0" w:space="0" w:color="auto"/>
        <w:right w:val="none" w:sz="0" w:space="0" w:color="auto"/>
      </w:divBdr>
    </w:div>
    <w:div w:id="1013607853">
      <w:bodyDiv w:val="1"/>
      <w:marLeft w:val="0"/>
      <w:marRight w:val="0"/>
      <w:marTop w:val="0"/>
      <w:marBottom w:val="0"/>
      <w:divBdr>
        <w:top w:val="none" w:sz="0" w:space="0" w:color="auto"/>
        <w:left w:val="none" w:sz="0" w:space="0" w:color="auto"/>
        <w:bottom w:val="none" w:sz="0" w:space="0" w:color="auto"/>
        <w:right w:val="none" w:sz="0" w:space="0" w:color="auto"/>
      </w:divBdr>
      <w:divsChild>
        <w:div w:id="1499298876">
          <w:marLeft w:val="0"/>
          <w:marRight w:val="0"/>
          <w:marTop w:val="0"/>
          <w:marBottom w:val="0"/>
          <w:divBdr>
            <w:top w:val="none" w:sz="0" w:space="0" w:color="auto"/>
            <w:left w:val="none" w:sz="0" w:space="0" w:color="auto"/>
            <w:bottom w:val="none" w:sz="0" w:space="0" w:color="auto"/>
            <w:right w:val="none" w:sz="0" w:space="0" w:color="auto"/>
          </w:divBdr>
          <w:divsChild>
            <w:div w:id="1800298048">
              <w:marLeft w:val="0"/>
              <w:marRight w:val="0"/>
              <w:marTop w:val="0"/>
              <w:marBottom w:val="0"/>
              <w:divBdr>
                <w:top w:val="none" w:sz="0" w:space="0" w:color="auto"/>
                <w:left w:val="none" w:sz="0" w:space="0" w:color="auto"/>
                <w:bottom w:val="none" w:sz="0" w:space="0" w:color="auto"/>
                <w:right w:val="none" w:sz="0" w:space="0" w:color="auto"/>
              </w:divBdr>
              <w:divsChild>
                <w:div w:id="18152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225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image" Target="media/image1.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diagramData" Target="diagrams/data1.xml"/><Relationship Id="rId7" Type="http://schemas.openxmlformats.org/officeDocument/2006/relationships/diagramLayout" Target="diagrams/layout1.xml"/><Relationship Id="rId8" Type="http://schemas.openxmlformats.org/officeDocument/2006/relationships/diagramQuickStyle" Target="diagrams/quickStyle1.xml"/><Relationship Id="rId9" Type="http://schemas.openxmlformats.org/officeDocument/2006/relationships/diagramColors" Target="diagrams/colors1.xml"/><Relationship Id="rId10"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u="sng" dirty="0"/>
              <a:t>Mechanism of Injury </a:t>
            </a:r>
          </a:p>
        </c:rich>
      </c:tx>
      <c:layout/>
      <c:overlay val="0"/>
      <c:spPr>
        <a:noFill/>
        <a:ln>
          <a:noFill/>
        </a:ln>
        <a:effectLst/>
      </c:spPr>
    </c:title>
    <c:autoTitleDeleted val="0"/>
    <c:plotArea>
      <c:layout>
        <c:manualLayout>
          <c:layoutTarget val="inner"/>
          <c:xMode val="edge"/>
          <c:yMode val="edge"/>
          <c:x val="0.387961932204235"/>
          <c:y val="0.214308960415381"/>
          <c:w val="0.22715001545533"/>
          <c:h val="0.387567969854136"/>
        </c:manualLayout>
      </c:layout>
      <c:pieChart>
        <c:varyColors val="1"/>
        <c:ser>
          <c:idx val="0"/>
          <c:order val="0"/>
          <c:tx>
            <c:strRef>
              <c:f>'Graphs '!$D$4</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00-41AD-8B48-B1ED9C1A39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00-41AD-8B48-B1ED9C1A39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00-41AD-8B48-B1ED9C1A397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C00-41AD-8B48-B1ED9C1A397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00-41AD-8B48-B1ED9C1A39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'Graphs '!$C$5:$C$9</c:f>
              <c:strCache>
                <c:ptCount val="5"/>
                <c:pt idx="0">
                  <c:v>Fall</c:v>
                </c:pt>
                <c:pt idx="1">
                  <c:v>Alleged Assault - punched / kicked</c:v>
                </c:pt>
                <c:pt idx="2">
                  <c:v>Alleged Assault - blunt object</c:v>
                </c:pt>
                <c:pt idx="3">
                  <c:v>RTA</c:v>
                </c:pt>
                <c:pt idx="4">
                  <c:v>Sports </c:v>
                </c:pt>
              </c:strCache>
            </c:strRef>
          </c:cat>
          <c:val>
            <c:numRef>
              <c:f>'Graphs '!$D$5:$D$9</c:f>
              <c:numCache>
                <c:formatCode>General</c:formatCode>
                <c:ptCount val="5"/>
                <c:pt idx="0">
                  <c:v>7.0</c:v>
                </c:pt>
                <c:pt idx="1">
                  <c:v>21.0</c:v>
                </c:pt>
                <c:pt idx="2">
                  <c:v>3.0</c:v>
                </c:pt>
                <c:pt idx="3">
                  <c:v>3.0</c:v>
                </c:pt>
                <c:pt idx="4">
                  <c:v>3.0</c:v>
                </c:pt>
              </c:numCache>
            </c:numRef>
          </c:val>
          <c:extLst xmlns:c16r2="http://schemas.microsoft.com/office/drawing/2015/06/chart">
            <c:ext xmlns:c16="http://schemas.microsoft.com/office/drawing/2014/chart" uri="{C3380CC4-5D6E-409C-BE32-E72D297353CC}">
              <c16:uniqueId val="{0000000A-7C00-41AD-8B48-B1ED9C1A397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438151934724047"/>
          <c:y val="0.633681411674914"/>
          <c:w val="0.918517856896478"/>
          <c:h val="0.33484781278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lgn="ct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725B9E-F86F-0B4C-B975-63AF8CED97D3}" type="doc">
      <dgm:prSet loTypeId="urn:microsoft.com/office/officeart/2005/8/layout/arrow2" loCatId="" qsTypeId="urn:microsoft.com/office/officeart/2005/8/quickstyle/simple4" qsCatId="simple" csTypeId="urn:microsoft.com/office/officeart/2005/8/colors/accent1_2" csCatId="accent1" phldr="1"/>
      <dgm:spPr/>
    </dgm:pt>
    <dgm:pt modelId="{F9CED0C8-7270-A14E-B9FD-530717BA1FD0}">
      <dgm:prSet phldrT="[Text]"/>
      <dgm:spPr/>
      <dgm:t>
        <a:bodyPr/>
        <a:lstStyle/>
        <a:p>
          <a:r>
            <a:rPr lang="en-US" dirty="0" smtClean="0"/>
            <a:t>Decision to admit patient</a:t>
          </a:r>
          <a:endParaRPr lang="en-US" dirty="0"/>
        </a:p>
      </dgm:t>
    </dgm:pt>
    <dgm:pt modelId="{D08A6C86-1358-124F-B013-7D6135986A43}" type="parTrans" cxnId="{34D40200-4FD8-9246-8646-40CBA0A649B6}">
      <dgm:prSet/>
      <dgm:spPr/>
      <dgm:t>
        <a:bodyPr/>
        <a:lstStyle/>
        <a:p>
          <a:endParaRPr lang="en-US"/>
        </a:p>
      </dgm:t>
    </dgm:pt>
    <dgm:pt modelId="{D504A89A-90EC-764A-9E3E-89B8ED5E84F0}" type="sibTrans" cxnId="{34D40200-4FD8-9246-8646-40CBA0A649B6}">
      <dgm:prSet/>
      <dgm:spPr/>
      <dgm:t>
        <a:bodyPr/>
        <a:lstStyle/>
        <a:p>
          <a:endParaRPr lang="en-US"/>
        </a:p>
      </dgm:t>
    </dgm:pt>
    <dgm:pt modelId="{26C1BFEA-D92A-B644-ADD4-D59470DE179B}">
      <dgm:prSet phldrT="[Text]"/>
      <dgm:spPr/>
      <dgm:t>
        <a:bodyPr/>
        <a:lstStyle/>
        <a:p>
          <a:r>
            <a:rPr lang="en-US" dirty="0" smtClean="0"/>
            <a:t>Procedure finished</a:t>
          </a:r>
          <a:endParaRPr lang="en-US" dirty="0"/>
        </a:p>
      </dgm:t>
    </dgm:pt>
    <dgm:pt modelId="{B3625E1D-55A5-8543-84DA-38722CE8D91E}" type="parTrans" cxnId="{AE3EDF9F-383E-6E47-AAAD-7F16A8BC099B}">
      <dgm:prSet/>
      <dgm:spPr/>
      <dgm:t>
        <a:bodyPr/>
        <a:lstStyle/>
        <a:p>
          <a:endParaRPr lang="en-US"/>
        </a:p>
      </dgm:t>
    </dgm:pt>
    <dgm:pt modelId="{ED89BB13-4EB0-234E-936E-EBE8F576F6A8}" type="sibTrans" cxnId="{AE3EDF9F-383E-6E47-AAAD-7F16A8BC099B}">
      <dgm:prSet/>
      <dgm:spPr/>
      <dgm:t>
        <a:bodyPr/>
        <a:lstStyle/>
        <a:p>
          <a:endParaRPr lang="en-US"/>
        </a:p>
      </dgm:t>
    </dgm:pt>
    <dgm:pt modelId="{B7A77836-0148-0F45-AE85-0A82921AF4C1}">
      <dgm:prSet phldrT="[Text]"/>
      <dgm:spPr/>
      <dgm:t>
        <a:bodyPr/>
        <a:lstStyle/>
        <a:p>
          <a:r>
            <a:rPr lang="en-US" dirty="0" smtClean="0"/>
            <a:t>Post-operative imaging  </a:t>
          </a:r>
          <a:endParaRPr lang="en-US" dirty="0"/>
        </a:p>
      </dgm:t>
    </dgm:pt>
    <dgm:pt modelId="{DAC69702-4E13-0D4A-93BE-C3919672CD96}" type="parTrans" cxnId="{932C3D02-DD07-8445-A4CC-2016E5CB5948}">
      <dgm:prSet/>
      <dgm:spPr/>
      <dgm:t>
        <a:bodyPr/>
        <a:lstStyle/>
        <a:p>
          <a:endParaRPr lang="en-US"/>
        </a:p>
      </dgm:t>
    </dgm:pt>
    <dgm:pt modelId="{C3FDE369-9681-C04D-8D9A-EBD0CFEDD3CF}" type="sibTrans" cxnId="{932C3D02-DD07-8445-A4CC-2016E5CB5948}">
      <dgm:prSet/>
      <dgm:spPr/>
      <dgm:t>
        <a:bodyPr/>
        <a:lstStyle/>
        <a:p>
          <a:endParaRPr lang="en-US"/>
        </a:p>
      </dgm:t>
    </dgm:pt>
    <dgm:pt modelId="{075AFCF5-2AB2-8649-8E0E-CFD80B926C21}">
      <dgm:prSet phldrT="[Text]"/>
      <dgm:spPr/>
      <dgm:t>
        <a:bodyPr/>
        <a:lstStyle/>
        <a:p>
          <a:r>
            <a:rPr lang="en-US" dirty="0" smtClean="0"/>
            <a:t>Patient discharged</a:t>
          </a:r>
          <a:endParaRPr lang="en-US" dirty="0"/>
        </a:p>
      </dgm:t>
    </dgm:pt>
    <dgm:pt modelId="{9047E7C8-EE73-F64D-89EA-A6DF8C92D166}" type="parTrans" cxnId="{DAB8FA0F-70AB-D844-AD11-6C8EA0063EC5}">
      <dgm:prSet/>
      <dgm:spPr/>
      <dgm:t>
        <a:bodyPr/>
        <a:lstStyle/>
        <a:p>
          <a:endParaRPr lang="en-US"/>
        </a:p>
      </dgm:t>
    </dgm:pt>
    <dgm:pt modelId="{E029BFAC-773A-4B48-B8EA-3B5749B278C5}" type="sibTrans" cxnId="{DAB8FA0F-70AB-D844-AD11-6C8EA0063EC5}">
      <dgm:prSet/>
      <dgm:spPr/>
      <dgm:t>
        <a:bodyPr/>
        <a:lstStyle/>
        <a:p>
          <a:endParaRPr lang="en-US"/>
        </a:p>
      </dgm:t>
    </dgm:pt>
    <dgm:pt modelId="{D568D501-DD89-CD4D-BE98-D0B10C5FF3C6}" type="pres">
      <dgm:prSet presAssocID="{12725B9E-F86F-0B4C-B975-63AF8CED97D3}" presName="arrowDiagram" presStyleCnt="0">
        <dgm:presLayoutVars>
          <dgm:chMax val="5"/>
          <dgm:dir/>
          <dgm:resizeHandles val="exact"/>
        </dgm:presLayoutVars>
      </dgm:prSet>
      <dgm:spPr/>
    </dgm:pt>
    <dgm:pt modelId="{E99D2E73-EC7E-2C43-AAAD-58A125FD15C6}" type="pres">
      <dgm:prSet presAssocID="{12725B9E-F86F-0B4C-B975-63AF8CED97D3}" presName="arrow" presStyleLbl="bgShp" presStyleIdx="0" presStyleCnt="1"/>
      <dgm:spPr/>
    </dgm:pt>
    <dgm:pt modelId="{B848AC10-0DB0-9343-84B2-109E5D7A65A7}" type="pres">
      <dgm:prSet presAssocID="{12725B9E-F86F-0B4C-B975-63AF8CED97D3}" presName="arrowDiagram4" presStyleCnt="0"/>
      <dgm:spPr/>
    </dgm:pt>
    <dgm:pt modelId="{B89B797A-649B-B04B-ACE4-0FC10EEA9AAC}" type="pres">
      <dgm:prSet presAssocID="{F9CED0C8-7270-A14E-B9FD-530717BA1FD0}" presName="bullet4a" presStyleLbl="node1" presStyleIdx="0" presStyleCnt="4"/>
      <dgm:spPr/>
    </dgm:pt>
    <dgm:pt modelId="{B58EDF05-2941-0E49-A500-144A478B17EF}" type="pres">
      <dgm:prSet presAssocID="{F9CED0C8-7270-A14E-B9FD-530717BA1FD0}" presName="textBox4a" presStyleLbl="revTx" presStyleIdx="0" presStyleCnt="4" custLinFactNeighborX="10970" custLinFactNeighborY="-9339">
        <dgm:presLayoutVars>
          <dgm:bulletEnabled val="1"/>
        </dgm:presLayoutVars>
      </dgm:prSet>
      <dgm:spPr/>
      <dgm:t>
        <a:bodyPr/>
        <a:lstStyle/>
        <a:p>
          <a:endParaRPr lang="en-US"/>
        </a:p>
      </dgm:t>
    </dgm:pt>
    <dgm:pt modelId="{89E138AB-2E4A-AE4D-8672-719D83077501}" type="pres">
      <dgm:prSet presAssocID="{26C1BFEA-D92A-B644-ADD4-D59470DE179B}" presName="bullet4b" presStyleLbl="node1" presStyleIdx="1" presStyleCnt="4"/>
      <dgm:spPr/>
    </dgm:pt>
    <dgm:pt modelId="{0AC37BCE-04E4-3B4B-95A6-59B11C32EFD1}" type="pres">
      <dgm:prSet presAssocID="{26C1BFEA-D92A-B644-ADD4-D59470DE179B}" presName="textBox4b" presStyleLbl="revTx" presStyleIdx="1" presStyleCnt="4">
        <dgm:presLayoutVars>
          <dgm:bulletEnabled val="1"/>
        </dgm:presLayoutVars>
      </dgm:prSet>
      <dgm:spPr/>
      <dgm:t>
        <a:bodyPr/>
        <a:lstStyle/>
        <a:p>
          <a:endParaRPr lang="en-US"/>
        </a:p>
      </dgm:t>
    </dgm:pt>
    <dgm:pt modelId="{89457732-A2DA-C642-AD9F-7B7DE523210A}" type="pres">
      <dgm:prSet presAssocID="{B7A77836-0148-0F45-AE85-0A82921AF4C1}" presName="bullet4c" presStyleLbl="node1" presStyleIdx="2" presStyleCnt="4"/>
      <dgm:spPr/>
    </dgm:pt>
    <dgm:pt modelId="{8AB997D8-4B8F-B94F-8FB6-56D559EA0FF4}" type="pres">
      <dgm:prSet presAssocID="{B7A77836-0148-0F45-AE85-0A82921AF4C1}" presName="textBox4c" presStyleLbl="revTx" presStyleIdx="2" presStyleCnt="4" custScaleX="105172" custLinFactNeighborX="8656" custLinFactNeighborY="523">
        <dgm:presLayoutVars>
          <dgm:bulletEnabled val="1"/>
        </dgm:presLayoutVars>
      </dgm:prSet>
      <dgm:spPr/>
      <dgm:t>
        <a:bodyPr/>
        <a:lstStyle/>
        <a:p>
          <a:endParaRPr lang="en-US"/>
        </a:p>
      </dgm:t>
    </dgm:pt>
    <dgm:pt modelId="{C6AAA85F-5C94-5341-BEB7-0996899F0347}" type="pres">
      <dgm:prSet presAssocID="{075AFCF5-2AB2-8649-8E0E-CFD80B926C21}" presName="bullet4d" presStyleLbl="node1" presStyleIdx="3" presStyleCnt="4"/>
      <dgm:spPr/>
    </dgm:pt>
    <dgm:pt modelId="{6ECAF478-0CA0-7441-8EA4-FB2A92021EA2}" type="pres">
      <dgm:prSet presAssocID="{075AFCF5-2AB2-8649-8E0E-CFD80B926C21}" presName="textBox4d" presStyleLbl="revTx" presStyleIdx="3" presStyleCnt="4">
        <dgm:presLayoutVars>
          <dgm:bulletEnabled val="1"/>
        </dgm:presLayoutVars>
      </dgm:prSet>
      <dgm:spPr/>
      <dgm:t>
        <a:bodyPr/>
        <a:lstStyle/>
        <a:p>
          <a:endParaRPr lang="en-US"/>
        </a:p>
      </dgm:t>
    </dgm:pt>
  </dgm:ptLst>
  <dgm:cxnLst>
    <dgm:cxn modelId="{DAB8FA0F-70AB-D844-AD11-6C8EA0063EC5}" srcId="{12725B9E-F86F-0B4C-B975-63AF8CED97D3}" destId="{075AFCF5-2AB2-8649-8E0E-CFD80B926C21}" srcOrd="3" destOrd="0" parTransId="{9047E7C8-EE73-F64D-89EA-A6DF8C92D166}" sibTransId="{E029BFAC-773A-4B48-B8EA-3B5749B278C5}"/>
    <dgm:cxn modelId="{0E3ECDCA-8FF7-2E46-976B-764C4826B956}" type="presOf" srcId="{B7A77836-0148-0F45-AE85-0A82921AF4C1}" destId="{8AB997D8-4B8F-B94F-8FB6-56D559EA0FF4}" srcOrd="0" destOrd="0" presId="urn:microsoft.com/office/officeart/2005/8/layout/arrow2"/>
    <dgm:cxn modelId="{F8203BC2-9F3D-3F4E-BDC0-798CE0B13514}" type="presOf" srcId="{F9CED0C8-7270-A14E-B9FD-530717BA1FD0}" destId="{B58EDF05-2941-0E49-A500-144A478B17EF}" srcOrd="0" destOrd="0" presId="urn:microsoft.com/office/officeart/2005/8/layout/arrow2"/>
    <dgm:cxn modelId="{8E8D1905-42BB-924A-A431-CC973A8D1DD6}" type="presOf" srcId="{26C1BFEA-D92A-B644-ADD4-D59470DE179B}" destId="{0AC37BCE-04E4-3B4B-95A6-59B11C32EFD1}" srcOrd="0" destOrd="0" presId="urn:microsoft.com/office/officeart/2005/8/layout/arrow2"/>
    <dgm:cxn modelId="{AE3EDF9F-383E-6E47-AAAD-7F16A8BC099B}" srcId="{12725B9E-F86F-0B4C-B975-63AF8CED97D3}" destId="{26C1BFEA-D92A-B644-ADD4-D59470DE179B}" srcOrd="1" destOrd="0" parTransId="{B3625E1D-55A5-8543-84DA-38722CE8D91E}" sibTransId="{ED89BB13-4EB0-234E-936E-EBE8F576F6A8}"/>
    <dgm:cxn modelId="{BAAD614D-81AD-D849-851D-1FDE3D383682}" type="presOf" srcId="{12725B9E-F86F-0B4C-B975-63AF8CED97D3}" destId="{D568D501-DD89-CD4D-BE98-D0B10C5FF3C6}" srcOrd="0" destOrd="0" presId="urn:microsoft.com/office/officeart/2005/8/layout/arrow2"/>
    <dgm:cxn modelId="{34D40200-4FD8-9246-8646-40CBA0A649B6}" srcId="{12725B9E-F86F-0B4C-B975-63AF8CED97D3}" destId="{F9CED0C8-7270-A14E-B9FD-530717BA1FD0}" srcOrd="0" destOrd="0" parTransId="{D08A6C86-1358-124F-B013-7D6135986A43}" sibTransId="{D504A89A-90EC-764A-9E3E-89B8ED5E84F0}"/>
    <dgm:cxn modelId="{932C3D02-DD07-8445-A4CC-2016E5CB5948}" srcId="{12725B9E-F86F-0B4C-B975-63AF8CED97D3}" destId="{B7A77836-0148-0F45-AE85-0A82921AF4C1}" srcOrd="2" destOrd="0" parTransId="{DAC69702-4E13-0D4A-93BE-C3919672CD96}" sibTransId="{C3FDE369-9681-C04D-8D9A-EBD0CFEDD3CF}"/>
    <dgm:cxn modelId="{ADD4AA0F-3F86-4C43-97A9-20EBFB0A831B}" type="presOf" srcId="{075AFCF5-2AB2-8649-8E0E-CFD80B926C21}" destId="{6ECAF478-0CA0-7441-8EA4-FB2A92021EA2}" srcOrd="0" destOrd="0" presId="urn:microsoft.com/office/officeart/2005/8/layout/arrow2"/>
    <dgm:cxn modelId="{4A7B9EA6-7A30-A04E-BD29-A92B89DB9C9B}" type="presParOf" srcId="{D568D501-DD89-CD4D-BE98-D0B10C5FF3C6}" destId="{E99D2E73-EC7E-2C43-AAAD-58A125FD15C6}" srcOrd="0" destOrd="0" presId="urn:microsoft.com/office/officeart/2005/8/layout/arrow2"/>
    <dgm:cxn modelId="{5B808BFC-729D-CF43-A526-1A436B38F8D0}" type="presParOf" srcId="{D568D501-DD89-CD4D-BE98-D0B10C5FF3C6}" destId="{B848AC10-0DB0-9343-84B2-109E5D7A65A7}" srcOrd="1" destOrd="0" presId="urn:microsoft.com/office/officeart/2005/8/layout/arrow2"/>
    <dgm:cxn modelId="{6DC4D4BB-9CB0-7E4A-BFDF-05F857FD8A7E}" type="presParOf" srcId="{B848AC10-0DB0-9343-84B2-109E5D7A65A7}" destId="{B89B797A-649B-B04B-ACE4-0FC10EEA9AAC}" srcOrd="0" destOrd="0" presId="urn:microsoft.com/office/officeart/2005/8/layout/arrow2"/>
    <dgm:cxn modelId="{ACEE08B8-FAC1-6C4F-9778-B1F43EBE6075}" type="presParOf" srcId="{B848AC10-0DB0-9343-84B2-109E5D7A65A7}" destId="{B58EDF05-2941-0E49-A500-144A478B17EF}" srcOrd="1" destOrd="0" presId="urn:microsoft.com/office/officeart/2005/8/layout/arrow2"/>
    <dgm:cxn modelId="{549D037B-6867-4647-8A26-73D30885F57B}" type="presParOf" srcId="{B848AC10-0DB0-9343-84B2-109E5D7A65A7}" destId="{89E138AB-2E4A-AE4D-8672-719D83077501}" srcOrd="2" destOrd="0" presId="urn:microsoft.com/office/officeart/2005/8/layout/arrow2"/>
    <dgm:cxn modelId="{144C00A2-0AB7-5349-8F00-D7746B9A38DD}" type="presParOf" srcId="{B848AC10-0DB0-9343-84B2-109E5D7A65A7}" destId="{0AC37BCE-04E4-3B4B-95A6-59B11C32EFD1}" srcOrd="3" destOrd="0" presId="urn:microsoft.com/office/officeart/2005/8/layout/arrow2"/>
    <dgm:cxn modelId="{565DD7D1-F128-014D-B3DF-3F4CD0626C09}" type="presParOf" srcId="{B848AC10-0DB0-9343-84B2-109E5D7A65A7}" destId="{89457732-A2DA-C642-AD9F-7B7DE523210A}" srcOrd="4" destOrd="0" presId="urn:microsoft.com/office/officeart/2005/8/layout/arrow2"/>
    <dgm:cxn modelId="{A09EC697-A6A5-EA48-A29E-DD19A98C8A75}" type="presParOf" srcId="{B848AC10-0DB0-9343-84B2-109E5D7A65A7}" destId="{8AB997D8-4B8F-B94F-8FB6-56D559EA0FF4}" srcOrd="5" destOrd="0" presId="urn:microsoft.com/office/officeart/2005/8/layout/arrow2"/>
    <dgm:cxn modelId="{4B3F55EE-997E-584D-9A60-73DCE76A2F12}" type="presParOf" srcId="{B848AC10-0DB0-9343-84B2-109E5D7A65A7}" destId="{C6AAA85F-5C94-5341-BEB7-0996899F0347}" srcOrd="6" destOrd="0" presId="urn:microsoft.com/office/officeart/2005/8/layout/arrow2"/>
    <dgm:cxn modelId="{4916EC24-D588-4B40-9804-6FA7DE176FD3}" type="presParOf" srcId="{B848AC10-0DB0-9343-84B2-109E5D7A65A7}" destId="{6ECAF478-0CA0-7441-8EA4-FB2A92021EA2}" srcOrd="7" destOrd="0" presId="urn:microsoft.com/office/officeart/2005/8/layout/arrow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D2E73-EC7E-2C43-AAAD-58A125FD15C6}">
      <dsp:nvSpPr>
        <dsp:cNvPr id="0" name=""/>
        <dsp:cNvSpPr/>
      </dsp:nvSpPr>
      <dsp:spPr>
        <a:xfrm>
          <a:off x="967688" y="0"/>
          <a:ext cx="3320288" cy="2075180"/>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89B797A-649B-B04B-ACE4-0FC10EEA9AAC}">
      <dsp:nvSpPr>
        <dsp:cNvPr id="0" name=""/>
        <dsp:cNvSpPr/>
      </dsp:nvSpPr>
      <dsp:spPr>
        <a:xfrm>
          <a:off x="1294736" y="1543103"/>
          <a:ext cx="76366" cy="7636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58EDF05-2941-0E49-A500-144A478B17EF}">
      <dsp:nvSpPr>
        <dsp:cNvPr id="0" name=""/>
        <dsp:cNvSpPr/>
      </dsp:nvSpPr>
      <dsp:spPr>
        <a:xfrm>
          <a:off x="1395203" y="1535162"/>
          <a:ext cx="567769" cy="4938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465" tIns="0" rIns="0" bIns="0" numCol="1" spcCol="1270" anchor="t" anchorCtr="0">
          <a:noAutofit/>
        </a:bodyPr>
        <a:lstStyle/>
        <a:p>
          <a:pPr lvl="0" algn="l" defTabSz="400050">
            <a:lnSpc>
              <a:spcPct val="90000"/>
            </a:lnSpc>
            <a:spcBef>
              <a:spcPct val="0"/>
            </a:spcBef>
            <a:spcAft>
              <a:spcPct val="35000"/>
            </a:spcAft>
          </a:pPr>
          <a:r>
            <a:rPr lang="en-US" sz="900" kern="1200" dirty="0" smtClean="0"/>
            <a:t>Decision to admit patient</a:t>
          </a:r>
          <a:endParaRPr lang="en-US" sz="900" kern="1200" dirty="0"/>
        </a:p>
      </dsp:txBody>
      <dsp:txXfrm>
        <a:off x="1395203" y="1535162"/>
        <a:ext cx="567769" cy="493892"/>
      </dsp:txXfrm>
    </dsp:sp>
    <dsp:sp modelId="{89E138AB-2E4A-AE4D-8672-719D83077501}">
      <dsp:nvSpPr>
        <dsp:cNvPr id="0" name=""/>
        <dsp:cNvSpPr/>
      </dsp:nvSpPr>
      <dsp:spPr>
        <a:xfrm>
          <a:off x="1834283" y="1060416"/>
          <a:ext cx="132811" cy="13281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AC37BCE-04E4-3B4B-95A6-59B11C32EFD1}">
      <dsp:nvSpPr>
        <dsp:cNvPr id="0" name=""/>
        <dsp:cNvSpPr/>
      </dsp:nvSpPr>
      <dsp:spPr>
        <a:xfrm>
          <a:off x="1900688" y="1126822"/>
          <a:ext cx="697260" cy="9483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374" tIns="0" rIns="0" bIns="0" numCol="1" spcCol="1270" anchor="t" anchorCtr="0">
          <a:noAutofit/>
        </a:bodyPr>
        <a:lstStyle/>
        <a:p>
          <a:pPr lvl="0" algn="l" defTabSz="400050">
            <a:lnSpc>
              <a:spcPct val="90000"/>
            </a:lnSpc>
            <a:spcBef>
              <a:spcPct val="0"/>
            </a:spcBef>
            <a:spcAft>
              <a:spcPct val="35000"/>
            </a:spcAft>
          </a:pPr>
          <a:r>
            <a:rPr lang="en-US" sz="900" kern="1200" dirty="0" smtClean="0"/>
            <a:t>Procedure finished</a:t>
          </a:r>
          <a:endParaRPr lang="en-US" sz="900" kern="1200" dirty="0"/>
        </a:p>
      </dsp:txBody>
      <dsp:txXfrm>
        <a:off x="1900688" y="1126822"/>
        <a:ext cx="697260" cy="948357"/>
      </dsp:txXfrm>
    </dsp:sp>
    <dsp:sp modelId="{89457732-A2DA-C642-AD9F-7B7DE523210A}">
      <dsp:nvSpPr>
        <dsp:cNvPr id="0" name=""/>
        <dsp:cNvSpPr/>
      </dsp:nvSpPr>
      <dsp:spPr>
        <a:xfrm>
          <a:off x="2523242" y="704731"/>
          <a:ext cx="175975" cy="175975"/>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AB997D8-4B8F-B94F-8FB6-56D559EA0FF4}">
      <dsp:nvSpPr>
        <dsp:cNvPr id="0" name=""/>
        <dsp:cNvSpPr/>
      </dsp:nvSpPr>
      <dsp:spPr>
        <a:xfrm>
          <a:off x="2653554" y="792718"/>
          <a:ext cx="733322" cy="12824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3246" tIns="0" rIns="0" bIns="0" numCol="1" spcCol="1270" anchor="t" anchorCtr="0">
          <a:noAutofit/>
        </a:bodyPr>
        <a:lstStyle/>
        <a:p>
          <a:pPr lvl="0" algn="l" defTabSz="400050">
            <a:lnSpc>
              <a:spcPct val="90000"/>
            </a:lnSpc>
            <a:spcBef>
              <a:spcPct val="0"/>
            </a:spcBef>
            <a:spcAft>
              <a:spcPct val="35000"/>
            </a:spcAft>
          </a:pPr>
          <a:r>
            <a:rPr lang="en-US" sz="900" kern="1200" dirty="0" smtClean="0"/>
            <a:t>Post-operative imaging  </a:t>
          </a:r>
          <a:endParaRPr lang="en-US" sz="900" kern="1200" dirty="0"/>
        </a:p>
      </dsp:txBody>
      <dsp:txXfrm>
        <a:off x="2653554" y="792718"/>
        <a:ext cx="733322" cy="1282461"/>
      </dsp:txXfrm>
    </dsp:sp>
    <dsp:sp modelId="{C6AAA85F-5C94-5341-BEB7-0996899F0347}">
      <dsp:nvSpPr>
        <dsp:cNvPr id="0" name=""/>
        <dsp:cNvSpPr/>
      </dsp:nvSpPr>
      <dsp:spPr>
        <a:xfrm>
          <a:off x="3273628" y="469405"/>
          <a:ext cx="235740" cy="23574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ECAF478-0CA0-7441-8EA4-FB2A92021EA2}">
      <dsp:nvSpPr>
        <dsp:cNvPr id="0" name=""/>
        <dsp:cNvSpPr/>
      </dsp:nvSpPr>
      <dsp:spPr>
        <a:xfrm>
          <a:off x="3391498" y="587275"/>
          <a:ext cx="697260" cy="1487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4914" tIns="0" rIns="0" bIns="0" numCol="1" spcCol="1270" anchor="t" anchorCtr="0">
          <a:noAutofit/>
        </a:bodyPr>
        <a:lstStyle/>
        <a:p>
          <a:pPr lvl="0" algn="l" defTabSz="400050">
            <a:lnSpc>
              <a:spcPct val="90000"/>
            </a:lnSpc>
            <a:spcBef>
              <a:spcPct val="0"/>
            </a:spcBef>
            <a:spcAft>
              <a:spcPct val="35000"/>
            </a:spcAft>
          </a:pPr>
          <a:r>
            <a:rPr lang="en-US" sz="900" kern="1200" dirty="0" smtClean="0"/>
            <a:t>Patient discharged</a:t>
          </a:r>
          <a:endParaRPr lang="en-US" sz="900" kern="1200" dirty="0"/>
        </a:p>
      </dsp:txBody>
      <dsp:txXfrm>
        <a:off x="3391498" y="587275"/>
        <a:ext cx="697260" cy="148790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6</Pages>
  <Words>1490</Words>
  <Characters>8493</Characters>
  <Application>Microsoft Macintosh Word</Application>
  <DocSecurity>0</DocSecurity>
  <Lines>70</Lines>
  <Paragraphs>19</Paragraphs>
  <ScaleCrop>false</ScaleCrop>
  <Company/>
  <LinksUpToDate>false</LinksUpToDate>
  <CharactersWithSpaces>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Gallagher</dc:creator>
  <cp:keywords/>
  <dc:description/>
  <cp:lastModifiedBy>Nicola Gallagher</cp:lastModifiedBy>
  <cp:revision>23</cp:revision>
  <dcterms:created xsi:type="dcterms:W3CDTF">2024-09-23T12:15:00Z</dcterms:created>
  <dcterms:modified xsi:type="dcterms:W3CDTF">2024-09-24T19:41:00Z</dcterms:modified>
</cp:coreProperties>
</file>